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D3D1F8C">
      <w:pPr>
        <w:jc w:val="center"/>
        <w:rPr>
          <w:rFonts w:ascii="Arial" w:hAnsi="Arial" w:eastAsia="宋体" w:cs="Arial"/>
          <w:b/>
          <w:bCs/>
          <w:color w:val="191919"/>
          <w:kern w:val="36"/>
          <w:sz w:val="42"/>
          <w:szCs w:val="42"/>
        </w:rPr>
      </w:pPr>
      <w:bookmarkStart w:id="0" w:name="_GoBack"/>
      <w:bookmarkEnd w:id="0"/>
      <w:r>
        <w:rPr>
          <w:rFonts w:hint="eastAsia" w:ascii="Arial" w:hAnsi="Arial" w:eastAsia="宋体" w:cs="Arial"/>
          <w:b/>
          <w:bCs/>
          <w:color w:val="191919"/>
          <w:kern w:val="36"/>
          <w:sz w:val="42"/>
          <w:szCs w:val="42"/>
        </w:rPr>
        <w:t>关于做好近期成品油市场管理工作的通知</w:t>
      </w:r>
    </w:p>
    <w:p w14:paraId="6C8CAE39">
      <w:pPr>
        <w:jc w:val="center"/>
        <w:rPr>
          <w:rFonts w:ascii="Arial" w:hAnsi="Arial" w:eastAsia="宋体" w:cs="Arial"/>
          <w:b/>
          <w:bCs/>
          <w:color w:val="191919"/>
          <w:kern w:val="36"/>
          <w:sz w:val="42"/>
          <w:szCs w:val="42"/>
        </w:rPr>
      </w:pPr>
    </w:p>
    <w:p w14:paraId="646D7C76">
      <w:pPr>
        <w:jc w:val="center"/>
      </w:pPr>
    </w:p>
    <w:p w14:paraId="5454842F">
      <w:pPr>
        <w:pStyle w:val="6"/>
        <w:shd w:val="clear" w:color="auto" w:fill="FFFFFF"/>
        <w:spacing w:before="0" w:beforeAutospacing="0" w:after="0" w:afterAutospacing="0"/>
        <w:rPr>
          <w:rFonts w:ascii="仿宋" w:hAnsi="仿宋" w:eastAsia="仿宋" w:cs="Arial"/>
          <w:color w:val="191919"/>
          <w:sz w:val="32"/>
          <w:szCs w:val="32"/>
        </w:rPr>
      </w:pPr>
      <w:r>
        <w:rPr>
          <w:rFonts w:hint="eastAsia" w:ascii="仿宋" w:hAnsi="仿宋" w:eastAsia="仿宋" w:cs="Arial"/>
          <w:color w:val="191919"/>
          <w:sz w:val="32"/>
          <w:szCs w:val="32"/>
        </w:rPr>
        <w:t>各盟市商务局，满洲里、二连浩特市商务局</w:t>
      </w:r>
      <w:r>
        <w:rPr>
          <w:rFonts w:ascii="仿宋" w:hAnsi="仿宋" w:eastAsia="仿宋" w:cs="Arial"/>
          <w:color w:val="191919"/>
          <w:sz w:val="32"/>
          <w:szCs w:val="32"/>
        </w:rPr>
        <w:t>：</w:t>
      </w:r>
    </w:p>
    <w:p w14:paraId="63362C19">
      <w:pPr>
        <w:widowControl/>
        <w:ind w:firstLine="640"/>
        <w:jc w:val="left"/>
        <w:rPr>
          <w:rFonts w:ascii="仿宋" w:hAnsi="仿宋" w:eastAsia="仿宋" w:cs="宋体"/>
          <w:kern w:val="0"/>
          <w:sz w:val="32"/>
          <w:szCs w:val="32"/>
        </w:rPr>
      </w:pPr>
      <w:r>
        <w:rPr>
          <w:rFonts w:hint="eastAsia" w:ascii="仿宋" w:hAnsi="仿宋" w:eastAsia="仿宋" w:cs="宋体"/>
          <w:kern w:val="0"/>
          <w:sz w:val="32"/>
          <w:szCs w:val="32"/>
        </w:rPr>
        <w:t>按照《商务部关于废止部分规章的决定》（商务部令</w:t>
      </w:r>
      <w:r>
        <w:rPr>
          <w:rFonts w:ascii="仿宋" w:hAnsi="仿宋" w:eastAsia="仿宋" w:cs="Times New Roman"/>
          <w:kern w:val="0"/>
          <w:sz w:val="32"/>
          <w:szCs w:val="32"/>
        </w:rPr>
        <w:t>2020</w:t>
      </w:r>
      <w:r>
        <w:rPr>
          <w:rFonts w:hint="eastAsia" w:ascii="仿宋" w:hAnsi="仿宋" w:eastAsia="仿宋" w:cs="宋体"/>
          <w:kern w:val="0"/>
          <w:sz w:val="32"/>
          <w:szCs w:val="32"/>
        </w:rPr>
        <w:t>年第</w:t>
      </w:r>
      <w:r>
        <w:rPr>
          <w:rFonts w:ascii="仿宋" w:hAnsi="仿宋" w:eastAsia="仿宋" w:cs="Times New Roman"/>
          <w:kern w:val="0"/>
          <w:sz w:val="32"/>
          <w:szCs w:val="32"/>
        </w:rPr>
        <w:t>1</w:t>
      </w:r>
      <w:r>
        <w:rPr>
          <w:rFonts w:hint="eastAsia" w:ascii="仿宋" w:hAnsi="仿宋" w:eastAsia="仿宋" w:cs="宋体"/>
          <w:kern w:val="0"/>
          <w:sz w:val="32"/>
          <w:szCs w:val="32"/>
        </w:rPr>
        <w:t>号），自</w:t>
      </w:r>
      <w:r>
        <w:rPr>
          <w:rFonts w:ascii="仿宋" w:hAnsi="仿宋" w:eastAsia="仿宋" w:cs="Times New Roman"/>
          <w:kern w:val="0"/>
          <w:sz w:val="32"/>
          <w:szCs w:val="32"/>
        </w:rPr>
        <w:t>2020</w:t>
      </w:r>
      <w:r>
        <w:rPr>
          <w:rFonts w:hint="eastAsia" w:ascii="仿宋" w:hAnsi="仿宋" w:eastAsia="仿宋" w:cs="宋体"/>
          <w:kern w:val="0"/>
          <w:sz w:val="32"/>
          <w:szCs w:val="32"/>
        </w:rPr>
        <w:t>年</w:t>
      </w:r>
      <w:r>
        <w:rPr>
          <w:rFonts w:ascii="仿宋" w:hAnsi="仿宋" w:eastAsia="仿宋" w:cs="Times New Roman"/>
          <w:kern w:val="0"/>
          <w:sz w:val="32"/>
          <w:szCs w:val="32"/>
        </w:rPr>
        <w:t>7</w:t>
      </w:r>
      <w:r>
        <w:rPr>
          <w:rFonts w:hint="eastAsia" w:ascii="仿宋" w:hAnsi="仿宋" w:eastAsia="仿宋" w:cs="宋体"/>
          <w:kern w:val="0"/>
          <w:sz w:val="32"/>
          <w:szCs w:val="32"/>
        </w:rPr>
        <w:t>月</w:t>
      </w:r>
      <w:r>
        <w:rPr>
          <w:rFonts w:ascii="仿宋" w:hAnsi="仿宋" w:eastAsia="仿宋" w:cs="Times New Roman"/>
          <w:kern w:val="0"/>
          <w:sz w:val="32"/>
          <w:szCs w:val="32"/>
        </w:rPr>
        <w:t>1</w:t>
      </w:r>
      <w:r>
        <w:rPr>
          <w:rFonts w:hint="eastAsia" w:ascii="仿宋" w:hAnsi="仿宋" w:eastAsia="仿宋" w:cs="宋体"/>
          <w:kern w:val="0"/>
          <w:sz w:val="32"/>
          <w:szCs w:val="32"/>
        </w:rPr>
        <w:t>日起，废止《成品油市场管理办法》（商务部令</w:t>
      </w:r>
      <w:r>
        <w:rPr>
          <w:rFonts w:ascii="仿宋" w:hAnsi="仿宋" w:eastAsia="仿宋" w:cs="Times New Roman"/>
          <w:kern w:val="0"/>
          <w:sz w:val="32"/>
          <w:szCs w:val="32"/>
        </w:rPr>
        <w:t>2006</w:t>
      </w:r>
      <w:r>
        <w:rPr>
          <w:rFonts w:hint="eastAsia" w:ascii="仿宋" w:hAnsi="仿宋" w:eastAsia="仿宋" w:cs="宋体"/>
          <w:kern w:val="0"/>
          <w:sz w:val="32"/>
          <w:szCs w:val="32"/>
        </w:rPr>
        <w:t>年第</w:t>
      </w:r>
      <w:r>
        <w:rPr>
          <w:rFonts w:ascii="仿宋" w:hAnsi="仿宋" w:eastAsia="仿宋" w:cs="Times New Roman"/>
          <w:kern w:val="0"/>
          <w:sz w:val="32"/>
          <w:szCs w:val="32"/>
        </w:rPr>
        <w:t>23</w:t>
      </w:r>
      <w:r>
        <w:rPr>
          <w:rFonts w:hint="eastAsia" w:ascii="仿宋" w:hAnsi="仿宋" w:eastAsia="仿宋" w:cs="宋体"/>
          <w:kern w:val="0"/>
          <w:sz w:val="32"/>
          <w:szCs w:val="32"/>
        </w:rPr>
        <w:t>号</w:t>
      </w:r>
      <w:r>
        <w:rPr>
          <w:rFonts w:hint="eastAsia" w:ascii="仿宋" w:hAnsi="仿宋" w:eastAsia="仿宋" w:cs="宋体"/>
          <w:kern w:val="0"/>
          <w:sz w:val="32"/>
          <w:szCs w:val="32"/>
          <w:lang w:eastAsia="zh-CN"/>
        </w:rPr>
        <w:t>，经商务部令</w:t>
      </w:r>
      <w:r>
        <w:rPr>
          <w:rFonts w:hint="eastAsia" w:ascii="仿宋" w:hAnsi="仿宋" w:eastAsia="仿宋" w:cs="宋体"/>
          <w:kern w:val="0"/>
          <w:sz w:val="32"/>
          <w:szCs w:val="32"/>
          <w:lang w:val="en-US" w:eastAsia="zh-CN"/>
        </w:rPr>
        <w:t>2015年第2号、商务部令2019年第1号修订</w:t>
      </w:r>
      <w:r>
        <w:rPr>
          <w:rFonts w:hint="eastAsia" w:ascii="仿宋" w:hAnsi="仿宋" w:eastAsia="仿宋" w:cs="宋体"/>
          <w:kern w:val="0"/>
          <w:sz w:val="32"/>
          <w:szCs w:val="32"/>
        </w:rPr>
        <w:t>）。为有序做好我区成品油市场管理工作，更好的服务民生，现就有关事宜通知如下：</w:t>
      </w:r>
    </w:p>
    <w:p w14:paraId="630B37EF">
      <w:pPr>
        <w:widowControl/>
        <w:ind w:firstLine="640"/>
        <w:jc w:val="left"/>
        <w:rPr>
          <w:rFonts w:ascii="仿宋" w:hAnsi="仿宋" w:eastAsia="仿宋" w:cs="宋体"/>
          <w:b/>
          <w:kern w:val="0"/>
          <w:sz w:val="32"/>
          <w:szCs w:val="32"/>
        </w:rPr>
      </w:pPr>
      <w:r>
        <w:rPr>
          <w:rFonts w:hint="eastAsia" w:ascii="仿宋" w:hAnsi="仿宋" w:eastAsia="仿宋" w:cs="宋体"/>
          <w:b/>
          <w:kern w:val="0"/>
          <w:sz w:val="32"/>
          <w:szCs w:val="32"/>
        </w:rPr>
        <w:t>一、严格实行经营许可</w:t>
      </w:r>
    </w:p>
    <w:p w14:paraId="174820DE">
      <w:pPr>
        <w:widowControl/>
        <w:ind w:firstLine="640"/>
        <w:jc w:val="left"/>
        <w:rPr>
          <w:rFonts w:ascii="仿宋" w:hAnsi="仿宋" w:eastAsia="仿宋" w:cs="宋体"/>
          <w:kern w:val="0"/>
          <w:sz w:val="32"/>
          <w:szCs w:val="32"/>
        </w:rPr>
      </w:pPr>
      <w:r>
        <w:rPr>
          <w:rFonts w:hint="eastAsia" w:ascii="仿宋" w:hAnsi="仿宋" w:eastAsia="仿宋" w:cs="宋体"/>
          <w:kern w:val="0"/>
          <w:sz w:val="32"/>
          <w:szCs w:val="32"/>
        </w:rPr>
        <w:t>根据《国务院对确需保留的行政审批项目设定行政许可的决定》（国务院令</w:t>
      </w:r>
      <w:r>
        <w:rPr>
          <w:rFonts w:hint="eastAsia" w:ascii="仿宋" w:hAnsi="仿宋" w:eastAsia="仿宋" w:cs="宋体"/>
          <w:kern w:val="0"/>
          <w:sz w:val="32"/>
          <w:szCs w:val="32"/>
          <w:lang w:val="en-US" w:eastAsia="zh-CN"/>
        </w:rPr>
        <w:t>671</w:t>
      </w:r>
      <w:r>
        <w:rPr>
          <w:rFonts w:hint="eastAsia" w:ascii="仿宋" w:hAnsi="仿宋" w:eastAsia="仿宋" w:cs="宋体"/>
          <w:kern w:val="0"/>
          <w:sz w:val="32"/>
          <w:szCs w:val="32"/>
        </w:rPr>
        <w:t>号）、《国务院办公厅关于加快发展流通促进商业消费的意见》（国办发〔</w:t>
      </w:r>
      <w:r>
        <w:rPr>
          <w:rFonts w:ascii="仿宋" w:hAnsi="仿宋" w:eastAsia="仿宋" w:cs="Times New Roman"/>
          <w:kern w:val="0"/>
          <w:sz w:val="32"/>
          <w:szCs w:val="32"/>
        </w:rPr>
        <w:t>2019</w:t>
      </w:r>
      <w:r>
        <w:rPr>
          <w:rFonts w:hint="eastAsia" w:ascii="仿宋" w:hAnsi="仿宋" w:eastAsia="仿宋" w:cs="宋体"/>
          <w:kern w:val="0"/>
          <w:sz w:val="32"/>
          <w:szCs w:val="32"/>
        </w:rPr>
        <w:t>〕</w:t>
      </w:r>
      <w:r>
        <w:rPr>
          <w:rFonts w:ascii="仿宋" w:hAnsi="仿宋" w:eastAsia="仿宋" w:cs="Times New Roman"/>
          <w:kern w:val="0"/>
          <w:sz w:val="32"/>
          <w:szCs w:val="32"/>
        </w:rPr>
        <w:t>42</w:t>
      </w:r>
      <w:r>
        <w:rPr>
          <w:rFonts w:hint="eastAsia" w:ascii="仿宋" w:hAnsi="仿宋" w:eastAsia="仿宋" w:cs="宋体"/>
          <w:kern w:val="0"/>
          <w:sz w:val="32"/>
          <w:szCs w:val="32"/>
        </w:rPr>
        <w:t>号）、《国务院关于取消和下放一批行政许可事项的决定》（国发〔2020〕13号）、《商务部关于做好石油成品油流通管理“放管服”改革工作的通知》（商运函〔</w:t>
      </w:r>
      <w:r>
        <w:rPr>
          <w:rFonts w:ascii="仿宋" w:hAnsi="仿宋" w:eastAsia="仿宋" w:cs="Times New Roman"/>
          <w:kern w:val="0"/>
          <w:sz w:val="32"/>
          <w:szCs w:val="32"/>
        </w:rPr>
        <w:t>2019</w:t>
      </w:r>
      <w:r>
        <w:rPr>
          <w:rFonts w:hint="eastAsia" w:ascii="仿宋" w:hAnsi="仿宋" w:eastAsia="仿宋" w:cs="宋体"/>
          <w:kern w:val="0"/>
          <w:sz w:val="32"/>
          <w:szCs w:val="32"/>
        </w:rPr>
        <w:t>〕</w:t>
      </w:r>
      <w:r>
        <w:rPr>
          <w:rFonts w:ascii="仿宋" w:hAnsi="仿宋" w:eastAsia="仿宋" w:cs="Times New Roman"/>
          <w:kern w:val="0"/>
          <w:sz w:val="32"/>
          <w:szCs w:val="32"/>
        </w:rPr>
        <w:t>659</w:t>
      </w:r>
      <w:r>
        <w:rPr>
          <w:rFonts w:hint="eastAsia" w:ascii="仿宋" w:hAnsi="仿宋" w:eastAsia="仿宋" w:cs="宋体"/>
          <w:kern w:val="0"/>
          <w:sz w:val="32"/>
          <w:szCs w:val="32"/>
        </w:rPr>
        <w:t>号）和《内蒙古自治区商务厅关于取消和下放石油成品油经营资格审批权限有关事项的通知》（内商运字〔</w:t>
      </w:r>
      <w:r>
        <w:rPr>
          <w:rFonts w:ascii="仿宋" w:hAnsi="仿宋" w:eastAsia="仿宋" w:cs="Times New Roman"/>
          <w:kern w:val="0"/>
          <w:sz w:val="32"/>
          <w:szCs w:val="32"/>
        </w:rPr>
        <w:t>20</w:t>
      </w:r>
      <w:r>
        <w:rPr>
          <w:rFonts w:hint="eastAsia" w:ascii="仿宋" w:hAnsi="仿宋" w:eastAsia="仿宋" w:cs="Times New Roman"/>
          <w:kern w:val="0"/>
          <w:sz w:val="32"/>
          <w:szCs w:val="32"/>
        </w:rPr>
        <w:t>20</w:t>
      </w:r>
      <w:r>
        <w:rPr>
          <w:rFonts w:hint="eastAsia" w:ascii="仿宋" w:hAnsi="仿宋" w:eastAsia="仿宋" w:cs="宋体"/>
          <w:kern w:val="0"/>
          <w:sz w:val="32"/>
          <w:szCs w:val="32"/>
        </w:rPr>
        <w:t>〕</w:t>
      </w:r>
      <w:r>
        <w:rPr>
          <w:rFonts w:ascii="仿宋" w:hAnsi="仿宋" w:eastAsia="仿宋" w:cs="宋体"/>
          <w:kern w:val="0"/>
          <w:sz w:val="32"/>
          <w:szCs w:val="32"/>
        </w:rPr>
        <w:t xml:space="preserve">89 </w:t>
      </w:r>
      <w:r>
        <w:rPr>
          <w:rFonts w:hint="eastAsia" w:ascii="仿宋" w:hAnsi="仿宋" w:eastAsia="仿宋" w:cs="宋体"/>
          <w:kern w:val="0"/>
          <w:sz w:val="32"/>
          <w:szCs w:val="32"/>
        </w:rPr>
        <w:t>号）等文件要求，市场主体从事石油成品油批发、仓储经营活动，应当符合企业登记注册、自然资源、规划建设、油品质量、安全、环保、消防、税务、交通、气象、计量等方面法律法规，达到相关标准，取得相关资质或通过相关验收，依法依规开展经营，无需向商务主管部门申请经营许可。从事成品油零售经营活动，仍需取得盟市级人民政府商务主管部门的行政许可。各盟市商务部门要做好行政许可相关工作，保证成品油市场管理工作连续性。</w:t>
      </w:r>
    </w:p>
    <w:p w14:paraId="07B2AE90">
      <w:pPr>
        <w:widowControl/>
        <w:ind w:firstLine="640"/>
        <w:jc w:val="left"/>
        <w:rPr>
          <w:rFonts w:ascii="仿宋" w:hAnsi="仿宋" w:eastAsia="仿宋" w:cs="宋体"/>
          <w:b/>
          <w:kern w:val="0"/>
          <w:sz w:val="32"/>
          <w:szCs w:val="32"/>
        </w:rPr>
      </w:pPr>
      <w:r>
        <w:rPr>
          <w:rFonts w:hint="eastAsia" w:ascii="仿宋" w:hAnsi="仿宋" w:eastAsia="仿宋" w:cs="宋体"/>
          <w:b/>
          <w:kern w:val="0"/>
          <w:sz w:val="32"/>
          <w:szCs w:val="32"/>
        </w:rPr>
        <w:t>二、加快制定出台相关管理办法</w:t>
      </w:r>
    </w:p>
    <w:p w14:paraId="29660921">
      <w:pPr>
        <w:widowControl/>
        <w:ind w:firstLine="640" w:firstLineChars="200"/>
        <w:jc w:val="left"/>
        <w:rPr>
          <w:rFonts w:ascii="仿宋" w:hAnsi="仿宋" w:eastAsia="仿宋" w:cs="宋体"/>
          <w:kern w:val="0"/>
          <w:sz w:val="32"/>
          <w:szCs w:val="32"/>
        </w:rPr>
      </w:pPr>
      <w:r>
        <w:rPr>
          <w:rFonts w:hint="eastAsia" w:ascii="仿宋" w:hAnsi="仿宋" w:eastAsia="仿宋" w:cs="宋体"/>
          <w:kern w:val="0"/>
          <w:sz w:val="32"/>
          <w:szCs w:val="32"/>
        </w:rPr>
        <w:t>各盟市要根据《国务院关于取消和下放一批行政许可事项的决定》（国发〔2020〕13号）、《商务部关于做好石油成品油流通管理“放管服”改革工作的通知》（商运函〔</w:t>
      </w:r>
      <w:r>
        <w:rPr>
          <w:rFonts w:ascii="仿宋" w:hAnsi="仿宋" w:eastAsia="仿宋" w:cs="Times New Roman"/>
          <w:kern w:val="0"/>
          <w:sz w:val="32"/>
          <w:szCs w:val="32"/>
        </w:rPr>
        <w:t>2019</w:t>
      </w:r>
      <w:r>
        <w:rPr>
          <w:rFonts w:hint="eastAsia" w:ascii="仿宋" w:hAnsi="仿宋" w:eastAsia="仿宋" w:cs="宋体"/>
          <w:kern w:val="0"/>
          <w:sz w:val="32"/>
          <w:szCs w:val="32"/>
        </w:rPr>
        <w:t>〕</w:t>
      </w:r>
      <w:r>
        <w:rPr>
          <w:rFonts w:ascii="仿宋" w:hAnsi="仿宋" w:eastAsia="仿宋" w:cs="Times New Roman"/>
          <w:kern w:val="0"/>
          <w:sz w:val="32"/>
          <w:szCs w:val="32"/>
        </w:rPr>
        <w:t>659</w:t>
      </w:r>
      <w:r>
        <w:rPr>
          <w:rFonts w:hint="eastAsia" w:ascii="仿宋" w:hAnsi="仿宋" w:eastAsia="仿宋" w:cs="宋体"/>
          <w:kern w:val="0"/>
          <w:sz w:val="32"/>
          <w:szCs w:val="32"/>
        </w:rPr>
        <w:t>号）、《内蒙古自治区商务厅关于取消和下放石油成品油经营资格审批权限有关事项的通知》（内商运字〔</w:t>
      </w:r>
      <w:r>
        <w:rPr>
          <w:rFonts w:ascii="仿宋" w:hAnsi="仿宋" w:eastAsia="仿宋" w:cs="宋体"/>
          <w:kern w:val="0"/>
          <w:sz w:val="32"/>
          <w:szCs w:val="32"/>
        </w:rPr>
        <w:t>2020</w:t>
      </w:r>
      <w:r>
        <w:rPr>
          <w:rFonts w:hint="eastAsia" w:ascii="仿宋" w:hAnsi="仿宋" w:eastAsia="仿宋" w:cs="宋体"/>
          <w:kern w:val="0"/>
          <w:sz w:val="32"/>
          <w:szCs w:val="32"/>
        </w:rPr>
        <w:t>〕</w:t>
      </w:r>
      <w:r>
        <w:rPr>
          <w:rFonts w:ascii="仿宋" w:hAnsi="仿宋" w:eastAsia="仿宋" w:cs="宋体"/>
          <w:kern w:val="0"/>
          <w:sz w:val="32"/>
          <w:szCs w:val="32"/>
        </w:rPr>
        <w:t xml:space="preserve">89 </w:t>
      </w:r>
      <w:r>
        <w:rPr>
          <w:rFonts w:hint="eastAsia" w:ascii="仿宋" w:hAnsi="仿宋" w:eastAsia="仿宋" w:cs="宋体"/>
          <w:kern w:val="0"/>
          <w:sz w:val="32"/>
          <w:szCs w:val="32"/>
        </w:rPr>
        <w:t xml:space="preserve">号）、《汽车加油加气站设计与施工规范》（GB50156-2012）、《成品油零售企业管理技术规范》（SB/T10390）等相关法律法规及文件要求，抓紧制定出台本地区成品油管理办法，对成品油管理事项进行地方立法，明确审批条件、程序和罚则等相关事宜。      </w:t>
      </w:r>
    </w:p>
    <w:p w14:paraId="0A6698DF">
      <w:pPr>
        <w:widowControl/>
        <w:ind w:firstLine="640"/>
        <w:jc w:val="left"/>
        <w:rPr>
          <w:rFonts w:ascii="仿宋" w:hAnsi="仿宋" w:eastAsia="仿宋" w:cs="宋体"/>
          <w:b/>
          <w:kern w:val="0"/>
          <w:sz w:val="32"/>
          <w:szCs w:val="32"/>
        </w:rPr>
      </w:pPr>
      <w:r>
        <w:rPr>
          <w:rFonts w:hint="eastAsia" w:ascii="仿宋" w:hAnsi="仿宋" w:eastAsia="仿宋" w:cs="宋体"/>
          <w:b/>
          <w:kern w:val="0"/>
          <w:sz w:val="32"/>
          <w:szCs w:val="32"/>
        </w:rPr>
        <w:t>三、规范履行审批职责</w:t>
      </w:r>
    </w:p>
    <w:p w14:paraId="5D3A389D">
      <w:pPr>
        <w:widowControl/>
        <w:ind w:firstLine="640"/>
        <w:jc w:val="left"/>
        <w:rPr>
          <w:rFonts w:ascii="仿宋" w:hAnsi="仿宋" w:eastAsia="仿宋" w:cs="宋体"/>
          <w:kern w:val="0"/>
          <w:sz w:val="32"/>
          <w:szCs w:val="32"/>
        </w:rPr>
      </w:pPr>
      <w:r>
        <w:rPr>
          <w:rFonts w:hint="eastAsia" w:ascii="仿宋" w:hAnsi="仿宋" w:eastAsia="仿宋" w:cs="宋体"/>
          <w:kern w:val="0"/>
          <w:sz w:val="32"/>
          <w:szCs w:val="32"/>
        </w:rPr>
        <w:t>为保障成品油管理工作的连续性，管好市场、服务企业。在本地区成品油管理办法出台前，各级商务主管部门可依照如下程序开展成品油零售经营政许可以及相关规划、审批、年检、监管等业务：</w:t>
      </w:r>
    </w:p>
    <w:p w14:paraId="381D2567">
      <w:pPr>
        <w:pStyle w:val="6"/>
        <w:numPr>
          <w:ilvl w:val="0"/>
          <w:numId w:val="1"/>
        </w:numPr>
        <w:shd w:val="clear" w:color="auto" w:fill="FFFFFF"/>
        <w:spacing w:before="150" w:beforeAutospacing="0" w:after="150" w:afterAutospacing="0" w:line="420" w:lineRule="atLeast"/>
        <w:jc w:val="both"/>
        <w:rPr>
          <w:rFonts w:ascii="仿宋" w:hAnsi="仿宋" w:eastAsia="仿宋"/>
          <w:b/>
          <w:color w:val="000000"/>
          <w:sz w:val="32"/>
          <w:szCs w:val="32"/>
        </w:rPr>
      </w:pPr>
      <w:r>
        <w:rPr>
          <w:rFonts w:hint="eastAsia" w:ascii="仿宋" w:hAnsi="仿宋" w:eastAsia="仿宋"/>
          <w:b/>
          <w:color w:val="000000"/>
          <w:sz w:val="32"/>
          <w:szCs w:val="32"/>
        </w:rPr>
        <w:t>编制零售体系发展规划</w:t>
      </w:r>
    </w:p>
    <w:p w14:paraId="3764AFEF">
      <w:pPr>
        <w:pStyle w:val="6"/>
        <w:shd w:val="clear" w:color="auto" w:fill="FFFFFF"/>
        <w:spacing w:before="150" w:beforeAutospacing="0" w:after="150" w:afterAutospacing="0" w:line="420" w:lineRule="atLeast"/>
        <w:ind w:firstLine="640" w:firstLineChars="200"/>
        <w:jc w:val="both"/>
        <w:rPr>
          <w:rFonts w:ascii="仿宋" w:hAnsi="仿宋" w:eastAsia="仿宋"/>
          <w:color w:val="000000"/>
          <w:sz w:val="32"/>
          <w:szCs w:val="32"/>
        </w:rPr>
      </w:pPr>
      <w:r>
        <w:rPr>
          <w:rFonts w:hint="eastAsia" w:ascii="仿宋" w:hAnsi="仿宋" w:eastAsia="仿宋"/>
          <w:color w:val="000000"/>
          <w:sz w:val="32"/>
          <w:szCs w:val="32"/>
        </w:rPr>
        <w:t>加油站（点）规划是成品油零售经营资格审批的重要依据，各盟市商务主管部门应组织编制全盟/市成品油零售体系发展规划。做好与城乡建设、国土空间规划的衔接，要深入研究当地收入、人口增长、汽车保有量、城镇化发展水平等变化趋势，兼顾资源环境承载能力和新能源汽车发展情况，统筹考虑当地成品油市场消费需求及企业发展需要，按照优化存量、按需增量原则，将符合设置间距要求的规划布点，纳入成品油零售体系发展规划，规划发布实施前报自治区商务厅备案。强化规划实施和动态管理，开展规划实施情况评估，适应经济和交通发展需要，依法依规对规划布点进行调整。进一步健全与国民经济发展相适应、满足消费者需要、布局合理、竞争有序、功能完善的成品油零售分销体系。</w:t>
      </w:r>
    </w:p>
    <w:p w14:paraId="5FBC75FB">
      <w:pPr>
        <w:pStyle w:val="6"/>
        <w:shd w:val="clear" w:color="auto" w:fill="FFFFFF"/>
        <w:spacing w:before="151" w:beforeAutospacing="0" w:after="432" w:afterAutospacing="0"/>
        <w:ind w:firstLine="643" w:firstLineChars="200"/>
        <w:rPr>
          <w:rFonts w:ascii="仿宋" w:hAnsi="仿宋" w:eastAsia="仿宋" w:cs="Arial"/>
          <w:b/>
          <w:color w:val="191919"/>
          <w:sz w:val="32"/>
          <w:szCs w:val="32"/>
        </w:rPr>
      </w:pPr>
      <w:r>
        <w:rPr>
          <w:rFonts w:ascii="仿宋" w:hAnsi="仿宋" w:eastAsia="仿宋" w:cs="Arial"/>
          <w:b/>
          <w:color w:val="191919"/>
          <w:sz w:val="32"/>
          <w:szCs w:val="32"/>
        </w:rPr>
        <w:t>（</w:t>
      </w:r>
      <w:r>
        <w:rPr>
          <w:rFonts w:hint="eastAsia" w:ascii="仿宋" w:hAnsi="仿宋" w:eastAsia="仿宋" w:cs="Arial"/>
          <w:b/>
          <w:color w:val="191919"/>
          <w:sz w:val="32"/>
          <w:szCs w:val="32"/>
        </w:rPr>
        <w:t>二</w:t>
      </w:r>
      <w:r>
        <w:rPr>
          <w:rFonts w:ascii="仿宋" w:hAnsi="仿宋" w:eastAsia="仿宋" w:cs="Arial"/>
          <w:b/>
          <w:color w:val="191919"/>
          <w:sz w:val="32"/>
          <w:szCs w:val="32"/>
        </w:rPr>
        <w:t>）规范市场准入</w:t>
      </w:r>
    </w:p>
    <w:p w14:paraId="72587CDC">
      <w:pPr>
        <w:pStyle w:val="6"/>
        <w:shd w:val="clear" w:color="auto" w:fill="FFFFFF"/>
        <w:spacing w:before="151" w:beforeAutospacing="0" w:after="432" w:afterAutospacing="0"/>
        <w:ind w:firstLine="640" w:firstLineChars="200"/>
        <w:rPr>
          <w:rFonts w:ascii="仿宋" w:hAnsi="仿宋" w:eastAsia="仿宋" w:cs="Arial"/>
          <w:color w:val="191919"/>
          <w:sz w:val="32"/>
          <w:szCs w:val="32"/>
        </w:rPr>
      </w:pPr>
      <w:r>
        <w:rPr>
          <w:rFonts w:hint="eastAsia" w:ascii="仿宋" w:hAnsi="仿宋" w:eastAsia="仿宋" w:cs="Arial"/>
          <w:color w:val="191919"/>
          <w:sz w:val="32"/>
          <w:szCs w:val="32"/>
        </w:rPr>
        <w:t>1．各盟市商务主管部门</w:t>
      </w:r>
      <w:r>
        <w:rPr>
          <w:rFonts w:ascii="仿宋" w:hAnsi="仿宋" w:eastAsia="仿宋" w:cs="Arial"/>
          <w:color w:val="191919"/>
          <w:sz w:val="32"/>
          <w:szCs w:val="32"/>
        </w:rPr>
        <w:t>要对成品油零售经营资格审批和流通管理负总责，严把市场准入关。</w:t>
      </w:r>
      <w:r>
        <w:rPr>
          <w:rFonts w:hint="eastAsia" w:ascii="仿宋" w:hAnsi="仿宋" w:eastAsia="仿宋" w:cs="Arial"/>
          <w:color w:val="191919"/>
          <w:sz w:val="32"/>
          <w:szCs w:val="32"/>
        </w:rPr>
        <w:t>申请从事成品油零售经营资格企业，应向县级商务主管部门提出申请。经县级商务主管部门审核后，对符合条件的予以受理，并将初步审核意见及申请材料报盟市商务主管部门审核，由盟市商务主管部门决定是否给予成品油零售经营资格许可。各级商务部门应在规定时限内完成审批流程，对符合条件的发放《成品油零售经营批准证书》，对不符合条件的，将不予许可的决定及理由书面通知申请人。</w:t>
      </w:r>
    </w:p>
    <w:p w14:paraId="459160B9">
      <w:pPr>
        <w:pStyle w:val="6"/>
        <w:shd w:val="clear" w:color="auto" w:fill="FFFFFF"/>
        <w:spacing w:before="151" w:beforeAutospacing="0" w:after="432" w:afterAutospacing="0"/>
        <w:ind w:firstLine="640" w:firstLineChars="200"/>
        <w:rPr>
          <w:rFonts w:ascii="仿宋" w:hAnsi="仿宋" w:eastAsia="仿宋" w:cs="Arial"/>
          <w:color w:val="191919"/>
          <w:sz w:val="32"/>
          <w:szCs w:val="32"/>
        </w:rPr>
      </w:pPr>
      <w:r>
        <w:rPr>
          <w:rFonts w:hint="eastAsia" w:ascii="仿宋" w:hAnsi="仿宋" w:eastAsia="仿宋" w:cs="Arial"/>
          <w:color w:val="191919"/>
          <w:sz w:val="32"/>
          <w:szCs w:val="32"/>
        </w:rPr>
        <w:t>2.</w:t>
      </w:r>
      <w:r>
        <w:rPr>
          <w:rFonts w:hint="eastAsia"/>
        </w:rPr>
        <w:t xml:space="preserve"> </w:t>
      </w:r>
      <w:r>
        <w:rPr>
          <w:rFonts w:hint="eastAsia" w:ascii="仿宋" w:hAnsi="仿宋" w:eastAsia="仿宋" w:cs="Arial"/>
          <w:color w:val="191919"/>
          <w:sz w:val="32"/>
          <w:szCs w:val="32"/>
        </w:rPr>
        <w:t>申请成品油零售经营资格的企业，应当具备下列条件：</w:t>
      </w:r>
    </w:p>
    <w:p w14:paraId="49291378">
      <w:pPr>
        <w:pStyle w:val="6"/>
        <w:shd w:val="clear" w:color="auto" w:fill="FFFFFF"/>
        <w:spacing w:before="151" w:beforeAutospacing="0" w:after="432" w:afterAutospacing="0"/>
        <w:ind w:firstLine="640" w:firstLineChars="200"/>
        <w:rPr>
          <w:rFonts w:ascii="仿宋" w:hAnsi="仿宋" w:eastAsia="仿宋" w:cs="Arial"/>
          <w:color w:val="191919"/>
          <w:sz w:val="32"/>
          <w:szCs w:val="32"/>
        </w:rPr>
      </w:pPr>
      <w:r>
        <w:rPr>
          <w:rFonts w:hint="eastAsia" w:ascii="仿宋" w:hAnsi="仿宋" w:eastAsia="仿宋" w:cs="Arial"/>
          <w:color w:val="191919"/>
          <w:sz w:val="32"/>
          <w:szCs w:val="32"/>
        </w:rPr>
        <w:t>（1）加油站建设应符合本地区成品油零售体系发展规划和《汽车加油加气站设计与施工规范》（GB50156-2012）、《成品油零售企业管理技术规范》（SB/T10390）等相关国家规范标准对布点设置间距规定要求。</w:t>
      </w:r>
    </w:p>
    <w:p w14:paraId="7D9AC078">
      <w:pPr>
        <w:pStyle w:val="6"/>
        <w:shd w:val="clear" w:color="auto" w:fill="FFFFFF"/>
        <w:spacing w:before="151" w:beforeAutospacing="0" w:after="432" w:afterAutospacing="0"/>
        <w:ind w:firstLine="640" w:firstLineChars="200"/>
        <w:rPr>
          <w:rFonts w:ascii="仿宋" w:hAnsi="仿宋" w:eastAsia="仿宋" w:cs="Arial"/>
          <w:color w:val="191919"/>
          <w:sz w:val="32"/>
          <w:szCs w:val="32"/>
        </w:rPr>
      </w:pPr>
      <w:r>
        <w:rPr>
          <w:rFonts w:hint="eastAsia" w:ascii="仿宋" w:hAnsi="仿宋" w:eastAsia="仿宋" w:cs="Arial"/>
          <w:color w:val="191919"/>
          <w:sz w:val="32"/>
          <w:szCs w:val="32"/>
        </w:rPr>
        <w:t>（2）成品油零售网点设计、建设、施工符合相应的国家标准，依法通过自然资源、规划建设、生态环境、应急、消防、商务、气象、市场监管（质检）等部门验收。</w:t>
      </w:r>
    </w:p>
    <w:p w14:paraId="714CE9F7">
      <w:pPr>
        <w:pStyle w:val="6"/>
        <w:shd w:val="clear" w:color="auto" w:fill="FFFFFF"/>
        <w:spacing w:before="151" w:beforeAutospacing="0" w:after="432" w:afterAutospacing="0"/>
        <w:ind w:firstLine="640" w:firstLineChars="200"/>
        <w:rPr>
          <w:rFonts w:ascii="仿宋" w:hAnsi="仿宋" w:eastAsia="仿宋" w:cs="Arial"/>
          <w:color w:val="191919"/>
          <w:sz w:val="32"/>
          <w:szCs w:val="32"/>
        </w:rPr>
      </w:pPr>
      <w:r>
        <w:rPr>
          <w:rFonts w:hint="eastAsia" w:ascii="仿宋" w:hAnsi="仿宋" w:eastAsia="仿宋" w:cs="Arial"/>
          <w:color w:val="191919"/>
          <w:sz w:val="32"/>
          <w:szCs w:val="32"/>
        </w:rPr>
        <w:t>（3）</w:t>
      </w:r>
      <w:r>
        <w:rPr>
          <w:rFonts w:ascii="仿宋" w:hAnsi="仿宋" w:eastAsia="仿宋" w:cs="Arial"/>
          <w:color w:val="191919"/>
          <w:sz w:val="32"/>
          <w:szCs w:val="32"/>
        </w:rPr>
        <w:t>申请主体无严重违法失信行为。</w:t>
      </w:r>
    </w:p>
    <w:p w14:paraId="0D3D1468">
      <w:pPr>
        <w:pStyle w:val="6"/>
        <w:shd w:val="clear" w:color="auto" w:fill="FFFFFF"/>
        <w:spacing w:before="151" w:beforeAutospacing="0" w:after="432" w:afterAutospacing="0"/>
        <w:ind w:firstLine="640" w:firstLineChars="200"/>
        <w:rPr>
          <w:rFonts w:ascii="仿宋" w:hAnsi="仿宋" w:eastAsia="仿宋" w:cs="Arial"/>
          <w:color w:val="191919"/>
          <w:sz w:val="32"/>
          <w:szCs w:val="32"/>
        </w:rPr>
      </w:pPr>
      <w:r>
        <w:rPr>
          <w:rFonts w:hint="eastAsia" w:ascii="仿宋" w:hAnsi="仿宋" w:eastAsia="仿宋" w:cs="Arial"/>
          <w:color w:val="191919"/>
          <w:sz w:val="32"/>
          <w:szCs w:val="32"/>
        </w:rPr>
        <w:t>3.</w:t>
      </w:r>
      <w:r>
        <w:rPr>
          <w:rFonts w:hint="eastAsia"/>
        </w:rPr>
        <w:t xml:space="preserve"> </w:t>
      </w:r>
      <w:r>
        <w:rPr>
          <w:rFonts w:hint="eastAsia" w:ascii="仿宋" w:hAnsi="仿宋" w:eastAsia="仿宋" w:cs="Arial"/>
          <w:color w:val="191919"/>
          <w:sz w:val="32"/>
          <w:szCs w:val="32"/>
        </w:rPr>
        <w:t>申请成品油零售经营资格的企业，应当提交下列文件：</w:t>
      </w:r>
    </w:p>
    <w:p w14:paraId="16EFCDC5">
      <w:pPr>
        <w:pStyle w:val="6"/>
        <w:shd w:val="clear" w:color="auto" w:fill="FFFFFF"/>
        <w:spacing w:before="151" w:after="432"/>
        <w:ind w:firstLine="640" w:firstLineChars="200"/>
        <w:rPr>
          <w:rFonts w:ascii="仿宋" w:hAnsi="仿宋" w:eastAsia="仿宋" w:cs="Arial"/>
          <w:color w:val="191919"/>
          <w:sz w:val="32"/>
          <w:szCs w:val="32"/>
        </w:rPr>
      </w:pPr>
      <w:r>
        <w:rPr>
          <w:rFonts w:hint="eastAsia" w:ascii="仿宋" w:hAnsi="仿宋" w:eastAsia="仿宋" w:cs="Arial"/>
          <w:color w:val="191919"/>
          <w:sz w:val="32"/>
          <w:szCs w:val="32"/>
        </w:rPr>
        <w:t>（1）企业申请文件及《成品油零售经营资格申请表》；</w:t>
      </w:r>
    </w:p>
    <w:p w14:paraId="799E3AE1">
      <w:pPr>
        <w:pStyle w:val="6"/>
        <w:shd w:val="clear" w:color="auto" w:fill="FFFFFF"/>
        <w:spacing w:before="151" w:beforeAutospacing="0" w:after="432" w:afterAutospacing="0"/>
        <w:ind w:firstLine="640" w:firstLineChars="200"/>
        <w:rPr>
          <w:rFonts w:ascii="仿宋" w:hAnsi="仿宋" w:eastAsia="仿宋" w:cs="Arial"/>
          <w:color w:val="191919"/>
          <w:sz w:val="32"/>
          <w:szCs w:val="32"/>
        </w:rPr>
      </w:pPr>
      <w:r>
        <w:rPr>
          <w:rFonts w:hint="eastAsia" w:ascii="仿宋" w:hAnsi="仿宋" w:eastAsia="仿宋" w:cs="Arial"/>
          <w:color w:val="191919"/>
          <w:sz w:val="32"/>
          <w:szCs w:val="32"/>
        </w:rPr>
        <w:t>（2）市场监管部门核发的企业营业执照；</w:t>
      </w:r>
    </w:p>
    <w:p w14:paraId="004363E9">
      <w:pPr>
        <w:autoSpaceDE w:val="0"/>
        <w:autoSpaceDN w:val="0"/>
        <w:adjustRightInd w:val="0"/>
        <w:ind w:firstLine="595" w:firstLineChars="186"/>
        <w:jc w:val="left"/>
        <w:rPr>
          <w:rFonts w:ascii="仿宋" w:hAnsi="仿宋" w:eastAsia="仿宋" w:cs="楷体_GB2312"/>
          <w:kern w:val="0"/>
          <w:sz w:val="32"/>
          <w:szCs w:val="32"/>
        </w:rPr>
      </w:pPr>
      <w:r>
        <w:rPr>
          <w:rFonts w:hint="eastAsia" w:ascii="仿宋" w:hAnsi="仿宋" w:eastAsia="仿宋" w:cs="楷体_GB2312"/>
          <w:kern w:val="0"/>
          <w:sz w:val="32"/>
          <w:szCs w:val="32"/>
        </w:rPr>
        <w:t>（3）盟市级商务部门核发的成品油零售网点的规划确认文件；</w:t>
      </w:r>
    </w:p>
    <w:p w14:paraId="3A8EF88B">
      <w:pPr>
        <w:autoSpaceDE w:val="0"/>
        <w:autoSpaceDN w:val="0"/>
        <w:adjustRightInd w:val="0"/>
        <w:ind w:firstLine="595" w:firstLineChars="186"/>
        <w:jc w:val="left"/>
        <w:rPr>
          <w:rFonts w:ascii="仿宋" w:hAnsi="仿宋" w:eastAsia="仿宋" w:cs="楷体_GB2312"/>
          <w:kern w:val="0"/>
          <w:sz w:val="32"/>
          <w:szCs w:val="32"/>
        </w:rPr>
      </w:pPr>
      <w:r>
        <w:rPr>
          <w:rFonts w:hint="eastAsia" w:ascii="仿宋" w:hAnsi="仿宋" w:eastAsia="仿宋" w:cs="楷体_GB2312"/>
          <w:kern w:val="0"/>
          <w:sz w:val="32"/>
          <w:szCs w:val="32"/>
        </w:rPr>
        <w:t>（4）自然资源、规划建设、</w:t>
      </w:r>
      <w:r>
        <w:rPr>
          <w:rFonts w:hint="eastAsia" w:ascii="仿宋" w:hAnsi="仿宋" w:eastAsia="仿宋" w:cs="Arial"/>
          <w:color w:val="191919"/>
          <w:sz w:val="32"/>
          <w:szCs w:val="32"/>
        </w:rPr>
        <w:t>生态环境、消防、</w:t>
      </w:r>
      <w:r>
        <w:rPr>
          <w:rFonts w:hint="eastAsia" w:ascii="仿宋" w:hAnsi="仿宋" w:eastAsia="仿宋" w:cs="楷体_GB2312"/>
          <w:kern w:val="0"/>
          <w:sz w:val="32"/>
          <w:szCs w:val="32"/>
        </w:rPr>
        <w:t>气象及市场监管（质检）等部门依法核发的成品油零售网点及其配套设施的许可文件、产权证明文件或验收合格文件；</w:t>
      </w:r>
    </w:p>
    <w:p w14:paraId="4DE923C4">
      <w:pPr>
        <w:autoSpaceDE w:val="0"/>
        <w:autoSpaceDN w:val="0"/>
        <w:adjustRightInd w:val="0"/>
        <w:ind w:firstLine="595" w:firstLineChars="186"/>
        <w:jc w:val="left"/>
        <w:rPr>
          <w:rFonts w:ascii="仿宋" w:hAnsi="仿宋" w:eastAsia="仿宋" w:cs="楷体_GB2312"/>
          <w:kern w:val="0"/>
          <w:sz w:val="32"/>
          <w:szCs w:val="32"/>
        </w:rPr>
      </w:pPr>
      <w:r>
        <w:rPr>
          <w:rFonts w:hint="eastAsia" w:ascii="仿宋" w:hAnsi="仿宋" w:eastAsia="仿宋" w:cs="楷体_GB2312"/>
          <w:kern w:val="0"/>
          <w:sz w:val="32"/>
          <w:szCs w:val="32"/>
        </w:rPr>
        <w:t>（5）应急监管部门核发的《危险化学品经营许可证》；</w:t>
      </w:r>
    </w:p>
    <w:p w14:paraId="4527E552">
      <w:pPr>
        <w:pStyle w:val="6"/>
        <w:shd w:val="clear" w:color="auto" w:fill="FFFFFF"/>
        <w:spacing w:before="151" w:beforeAutospacing="0" w:after="432" w:afterAutospacing="0"/>
        <w:ind w:firstLine="640" w:firstLineChars="200"/>
        <w:rPr>
          <w:rFonts w:ascii="仿宋" w:hAnsi="仿宋" w:eastAsia="仿宋" w:cs="Arial"/>
          <w:color w:val="191919"/>
          <w:sz w:val="32"/>
          <w:szCs w:val="32"/>
        </w:rPr>
      </w:pPr>
      <w:r>
        <w:rPr>
          <w:rFonts w:hint="eastAsia" w:ascii="仿宋" w:hAnsi="仿宋" w:eastAsia="仿宋" w:cs="Arial"/>
          <w:color w:val="191919"/>
          <w:sz w:val="32"/>
          <w:szCs w:val="32"/>
        </w:rPr>
        <w:t>（6）审核机关要求的其他文件。</w:t>
      </w:r>
    </w:p>
    <w:p w14:paraId="7A1616F0">
      <w:pPr>
        <w:pStyle w:val="6"/>
        <w:shd w:val="clear" w:color="auto" w:fill="FFFFFF"/>
        <w:spacing w:before="151" w:beforeAutospacing="0" w:after="432" w:afterAutospacing="0"/>
        <w:ind w:firstLine="640" w:firstLineChars="200"/>
        <w:rPr>
          <w:rFonts w:ascii="仿宋" w:hAnsi="仿宋" w:eastAsia="仿宋" w:cs="楷体_GB2312"/>
          <w:sz w:val="32"/>
          <w:szCs w:val="32"/>
        </w:rPr>
      </w:pPr>
      <w:r>
        <w:rPr>
          <w:rFonts w:hint="eastAsia" w:ascii="仿宋" w:hAnsi="仿宋" w:eastAsia="仿宋" w:cs="Arial"/>
          <w:color w:val="191919"/>
          <w:sz w:val="32"/>
          <w:szCs w:val="32"/>
        </w:rPr>
        <w:t>4.</w:t>
      </w:r>
      <w:r>
        <w:rPr>
          <w:rFonts w:hint="eastAsia"/>
        </w:rPr>
        <w:t xml:space="preserve"> </w:t>
      </w:r>
      <w:r>
        <w:rPr>
          <w:rFonts w:hint="eastAsia" w:ascii="仿宋" w:hAnsi="仿宋" w:eastAsia="仿宋" w:cs="楷体_GB2312"/>
          <w:sz w:val="32"/>
          <w:szCs w:val="32"/>
        </w:rPr>
        <w:t>申请成品油零售网点规划确认（含新建、迁建）的企业，应当提交下列文件：</w:t>
      </w:r>
    </w:p>
    <w:p w14:paraId="00DB803E">
      <w:pPr>
        <w:pStyle w:val="6"/>
        <w:shd w:val="clear" w:color="auto" w:fill="FFFFFF"/>
        <w:spacing w:before="151" w:beforeAutospacing="0" w:after="432" w:afterAutospacing="0"/>
        <w:ind w:firstLine="640" w:firstLineChars="200"/>
        <w:rPr>
          <w:rFonts w:ascii="仿宋" w:hAnsi="仿宋" w:eastAsia="仿宋" w:cs="Arial"/>
          <w:color w:val="191919"/>
          <w:sz w:val="32"/>
          <w:szCs w:val="32"/>
        </w:rPr>
      </w:pPr>
      <w:r>
        <w:rPr>
          <w:rFonts w:hint="eastAsia" w:ascii="仿宋" w:hAnsi="仿宋" w:eastAsia="仿宋" w:cs="Arial"/>
          <w:color w:val="191919"/>
          <w:sz w:val="32"/>
          <w:szCs w:val="32"/>
        </w:rPr>
        <w:t>（1）企业申请文件；</w:t>
      </w:r>
    </w:p>
    <w:p w14:paraId="384D2231">
      <w:pPr>
        <w:widowControl/>
        <w:spacing w:before="100" w:beforeAutospacing="1" w:after="100" w:afterAutospacing="1" w:line="560" w:lineRule="exact"/>
        <w:ind w:firstLine="652" w:firstLineChars="204"/>
        <w:jc w:val="left"/>
        <w:rPr>
          <w:rFonts w:ascii="仿宋_GB2312" w:hAnsi="仿宋" w:eastAsia="仿宋_GB2312" w:cs="宋体"/>
          <w:color w:val="404040"/>
          <w:kern w:val="0"/>
          <w:sz w:val="32"/>
          <w:szCs w:val="32"/>
        </w:rPr>
      </w:pPr>
      <w:r>
        <w:rPr>
          <w:rFonts w:hint="eastAsia" w:ascii="仿宋" w:hAnsi="仿宋" w:eastAsia="仿宋" w:cs="Arial"/>
          <w:color w:val="191919"/>
          <w:sz w:val="32"/>
          <w:szCs w:val="32"/>
        </w:rPr>
        <w:t>（2）市场监管核发的企业营业执照</w:t>
      </w:r>
      <w:r>
        <w:rPr>
          <w:rFonts w:hint="eastAsia" w:ascii="仿宋_GB2312" w:hAnsi="仿宋" w:eastAsia="仿宋_GB2312" w:cs="宋体"/>
          <w:color w:val="404040"/>
          <w:kern w:val="0"/>
          <w:sz w:val="32"/>
          <w:szCs w:val="32"/>
        </w:rPr>
        <w:t>或《企业名称预先核准通知书》；</w:t>
      </w:r>
    </w:p>
    <w:p w14:paraId="08766EFD">
      <w:pPr>
        <w:pStyle w:val="6"/>
        <w:shd w:val="clear" w:color="auto" w:fill="FFFFFF"/>
        <w:spacing w:before="151" w:after="432"/>
        <w:ind w:firstLine="640" w:firstLineChars="200"/>
        <w:rPr>
          <w:rFonts w:ascii="仿宋" w:hAnsi="仿宋" w:eastAsia="仿宋" w:cs="Arial"/>
          <w:color w:val="191919"/>
          <w:sz w:val="32"/>
          <w:szCs w:val="32"/>
        </w:rPr>
      </w:pPr>
      <w:r>
        <w:rPr>
          <w:rFonts w:hint="eastAsia" w:ascii="仿宋" w:hAnsi="仿宋" w:eastAsia="仿宋" w:cs="Arial"/>
          <w:color w:val="191919"/>
          <w:sz w:val="32"/>
          <w:szCs w:val="32"/>
        </w:rPr>
        <w:t>（3）自然资源部门核发的加油站《国有土地使用证》或《不动产权证》或土地使用批准确认文件；</w:t>
      </w:r>
    </w:p>
    <w:p w14:paraId="2C1DDC61">
      <w:pPr>
        <w:pStyle w:val="6"/>
        <w:shd w:val="clear" w:color="auto" w:fill="FFFFFF"/>
        <w:spacing w:before="151" w:after="432"/>
        <w:ind w:firstLine="640" w:firstLineChars="200"/>
        <w:rPr>
          <w:rFonts w:ascii="仿宋" w:hAnsi="仿宋" w:eastAsia="仿宋" w:cs="Arial"/>
          <w:color w:val="191919"/>
          <w:sz w:val="32"/>
          <w:szCs w:val="32"/>
        </w:rPr>
      </w:pPr>
      <w:r>
        <w:rPr>
          <w:rFonts w:hint="eastAsia" w:ascii="仿宋" w:hAnsi="仿宋" w:eastAsia="仿宋" w:cs="Arial"/>
          <w:color w:val="191919"/>
          <w:sz w:val="32"/>
          <w:szCs w:val="32"/>
        </w:rPr>
        <w:t>（4）规划建设部门核发的加油站《建设用地规划许可证》或规划用地确认文件；</w:t>
      </w:r>
    </w:p>
    <w:p w14:paraId="635EC66D">
      <w:pPr>
        <w:pStyle w:val="6"/>
        <w:shd w:val="clear" w:color="auto" w:fill="FFFFFF"/>
        <w:spacing w:before="151" w:after="432"/>
        <w:ind w:firstLine="640" w:firstLineChars="200"/>
        <w:rPr>
          <w:rFonts w:ascii="仿宋" w:hAnsi="仿宋" w:eastAsia="仿宋" w:cs="Arial"/>
          <w:color w:val="191919"/>
          <w:sz w:val="32"/>
          <w:szCs w:val="32"/>
        </w:rPr>
      </w:pPr>
      <w:r>
        <w:rPr>
          <w:rFonts w:hint="eastAsia" w:ascii="仿宋" w:hAnsi="仿宋" w:eastAsia="仿宋" w:cs="Arial"/>
          <w:color w:val="191919"/>
          <w:sz w:val="32"/>
          <w:szCs w:val="32"/>
        </w:rPr>
        <w:t>（5）具有可行性研究报告；</w:t>
      </w:r>
    </w:p>
    <w:p w14:paraId="107DE70D">
      <w:pPr>
        <w:pStyle w:val="6"/>
        <w:shd w:val="clear" w:color="auto" w:fill="FFFFFF"/>
        <w:spacing w:before="151" w:beforeAutospacing="0" w:after="432" w:afterAutospacing="0"/>
        <w:ind w:firstLine="640" w:firstLineChars="200"/>
        <w:rPr>
          <w:rFonts w:ascii="仿宋" w:hAnsi="仿宋" w:eastAsia="仿宋" w:cs="Arial"/>
          <w:color w:val="191919"/>
          <w:sz w:val="32"/>
          <w:szCs w:val="32"/>
        </w:rPr>
      </w:pPr>
      <w:r>
        <w:rPr>
          <w:rFonts w:hint="eastAsia" w:ascii="仿宋" w:hAnsi="仿宋" w:eastAsia="仿宋" w:cs="Arial"/>
          <w:color w:val="191919"/>
          <w:sz w:val="32"/>
          <w:szCs w:val="32"/>
        </w:rPr>
        <w:t>（6）拟建加油网点现状分布位置示意图；</w:t>
      </w:r>
    </w:p>
    <w:p w14:paraId="400CBFA5">
      <w:pPr>
        <w:pStyle w:val="6"/>
        <w:shd w:val="clear" w:color="auto" w:fill="FFFFFF"/>
        <w:spacing w:before="151" w:beforeAutospacing="0" w:after="432" w:afterAutospacing="0"/>
        <w:ind w:firstLine="640" w:firstLineChars="200"/>
        <w:rPr>
          <w:rFonts w:ascii="仿宋" w:hAnsi="仿宋" w:eastAsia="仿宋" w:cs="Arial"/>
          <w:color w:val="191919"/>
          <w:sz w:val="32"/>
          <w:szCs w:val="32"/>
        </w:rPr>
      </w:pPr>
      <w:r>
        <w:rPr>
          <w:rFonts w:hint="eastAsia" w:ascii="仿宋" w:hAnsi="仿宋" w:eastAsia="仿宋" w:cs="Arial"/>
          <w:color w:val="191919"/>
          <w:sz w:val="32"/>
          <w:szCs w:val="32"/>
        </w:rPr>
        <w:t>（7）审核机关要求的其他文件。</w:t>
      </w:r>
    </w:p>
    <w:p w14:paraId="24B74281">
      <w:pPr>
        <w:pStyle w:val="6"/>
        <w:shd w:val="clear" w:color="auto" w:fill="FFFFFF"/>
        <w:spacing w:before="151" w:beforeAutospacing="0" w:after="432" w:afterAutospacing="0"/>
        <w:ind w:firstLine="640" w:firstLineChars="200"/>
        <w:rPr>
          <w:rFonts w:ascii="仿宋" w:hAnsi="仿宋" w:eastAsia="仿宋" w:cs="Arial"/>
          <w:color w:val="191919"/>
          <w:sz w:val="32"/>
          <w:szCs w:val="32"/>
        </w:rPr>
      </w:pPr>
    </w:p>
    <w:p w14:paraId="20356EBC">
      <w:pPr>
        <w:pStyle w:val="6"/>
        <w:shd w:val="clear" w:color="auto" w:fill="FFFFFF"/>
        <w:spacing w:before="151" w:after="432"/>
        <w:ind w:firstLine="640" w:firstLineChars="200"/>
        <w:rPr>
          <w:rFonts w:ascii="仿宋" w:hAnsi="仿宋" w:eastAsia="仿宋" w:cs="Arial"/>
          <w:color w:val="191919"/>
          <w:sz w:val="32"/>
          <w:szCs w:val="32"/>
        </w:rPr>
      </w:pPr>
      <w:r>
        <w:rPr>
          <w:rFonts w:hint="eastAsia" w:ascii="仿宋" w:hAnsi="仿宋" w:eastAsia="仿宋" w:cs="Arial"/>
          <w:color w:val="191919"/>
          <w:sz w:val="32"/>
          <w:szCs w:val="32"/>
        </w:rPr>
        <w:t>5.</w:t>
      </w:r>
      <w:r>
        <w:rPr>
          <w:rFonts w:hint="eastAsia"/>
        </w:rPr>
        <w:t xml:space="preserve"> </w:t>
      </w:r>
      <w:r>
        <w:rPr>
          <w:rFonts w:hint="eastAsia" w:ascii="仿宋" w:hAnsi="仿宋" w:eastAsia="仿宋" w:cs="Arial"/>
          <w:color w:val="191919"/>
          <w:sz w:val="32"/>
          <w:szCs w:val="32"/>
        </w:rPr>
        <w:t>企业新建、迁建成品油零售网点等设施，应符合所在地区成品油零售体系发展规划。企业在取得商务主管部门核发的规划确认文件并办理相关部门批准手续后，方可进行成品油零售网点建设。规划确认文件有效期为2年，原则上可以延期一次，期限不超过2年。成品油经营企业改（扩）建成品油零售网点等设施应报盟市级商务主管部门备案。改（扩）建设施应在工程结束并经建设、消防、气象、经济、环境、计量、商务等相关部门验收合格后方可投入运营。</w:t>
      </w:r>
    </w:p>
    <w:p w14:paraId="0C09F2B4">
      <w:pPr>
        <w:pStyle w:val="6"/>
        <w:shd w:val="clear" w:color="auto" w:fill="FFFFFF"/>
        <w:spacing w:before="151" w:after="432"/>
        <w:ind w:firstLine="640" w:firstLineChars="200"/>
        <w:rPr>
          <w:rFonts w:ascii="仿宋" w:hAnsi="仿宋" w:eastAsia="仿宋" w:cs="Arial"/>
          <w:color w:val="191919"/>
          <w:sz w:val="32"/>
          <w:szCs w:val="32"/>
        </w:rPr>
      </w:pPr>
      <w:r>
        <w:rPr>
          <w:rFonts w:hint="eastAsia" w:ascii="仿宋" w:hAnsi="仿宋" w:eastAsia="仿宋" w:cs="Arial"/>
          <w:color w:val="191919"/>
          <w:sz w:val="32"/>
          <w:szCs w:val="32"/>
        </w:rPr>
        <w:t>6.</w:t>
      </w:r>
      <w:r>
        <w:rPr>
          <w:rFonts w:hint="eastAsia"/>
        </w:rPr>
        <w:t xml:space="preserve"> </w:t>
      </w:r>
      <w:r>
        <w:rPr>
          <w:rFonts w:hint="eastAsia" w:ascii="仿宋" w:hAnsi="仿宋" w:eastAsia="仿宋" w:cs="Arial"/>
          <w:color w:val="191919"/>
          <w:sz w:val="32"/>
          <w:szCs w:val="32"/>
        </w:rPr>
        <w:t>采取国有土地使用权招标、拍卖、挂牌等方式确定经营企业的新建成品油零售网点项目，招标方、拍卖委托人等单位应当在商务主管部门对零售网点进行规划确认后，方可组织投标、拍卖活动。</w:t>
      </w:r>
    </w:p>
    <w:p w14:paraId="1B270BE4">
      <w:pPr>
        <w:pStyle w:val="6"/>
        <w:shd w:val="clear" w:color="auto" w:fill="FFFFFF"/>
        <w:spacing w:before="151" w:after="432"/>
        <w:ind w:firstLine="640" w:firstLineChars="200"/>
        <w:rPr>
          <w:rFonts w:ascii="仿宋" w:hAnsi="仿宋" w:eastAsia="仿宋" w:cs="Arial"/>
          <w:color w:val="191919"/>
          <w:sz w:val="32"/>
          <w:szCs w:val="32"/>
        </w:rPr>
      </w:pPr>
      <w:r>
        <w:rPr>
          <w:rFonts w:hint="eastAsia" w:ascii="仿宋" w:hAnsi="仿宋" w:eastAsia="仿宋" w:cs="Arial"/>
          <w:color w:val="191919"/>
          <w:sz w:val="32"/>
          <w:szCs w:val="32"/>
        </w:rPr>
        <w:t>7.</w:t>
      </w:r>
      <w:r>
        <w:rPr>
          <w:rFonts w:ascii="仿宋" w:hAnsi="仿宋" w:eastAsia="仿宋" w:cs="Arial"/>
          <w:color w:val="191919"/>
          <w:sz w:val="32"/>
          <w:szCs w:val="32"/>
        </w:rPr>
        <w:t>成品油零售经营资格证书有效期</w:t>
      </w:r>
      <w:r>
        <w:rPr>
          <w:rFonts w:hint="eastAsia" w:ascii="仿宋" w:hAnsi="仿宋" w:eastAsia="仿宋" w:cs="Arial"/>
          <w:color w:val="191919"/>
          <w:sz w:val="32"/>
          <w:szCs w:val="32"/>
        </w:rPr>
        <w:t>为</w:t>
      </w:r>
      <w:r>
        <w:rPr>
          <w:rFonts w:ascii="仿宋" w:hAnsi="仿宋" w:eastAsia="仿宋" w:cs="Arial"/>
          <w:color w:val="191919"/>
          <w:sz w:val="32"/>
          <w:szCs w:val="32"/>
        </w:rPr>
        <w:t>5年</w:t>
      </w:r>
      <w:r>
        <w:rPr>
          <w:rFonts w:hint="eastAsia" w:ascii="仿宋" w:hAnsi="仿宋" w:eastAsia="仿宋" w:cs="Arial"/>
          <w:color w:val="191919"/>
          <w:sz w:val="32"/>
          <w:szCs w:val="32"/>
        </w:rPr>
        <w:t>，有效期满，企业需要继续从事成品油零售经营活动的，应在到期1个月前，按照管理权限向商务主管部门提出延续申请，对仍具备经营条件的企业准予换领新证。</w:t>
      </w:r>
      <w:r>
        <w:rPr>
          <w:rFonts w:ascii="仿宋" w:hAnsi="仿宋" w:eastAsia="仿宋" w:cs="Arial"/>
          <w:color w:val="191919"/>
          <w:sz w:val="32"/>
          <w:szCs w:val="32"/>
        </w:rPr>
        <w:t>不符合许可条件的，依法依规予以撤销、注销。</w:t>
      </w:r>
    </w:p>
    <w:p w14:paraId="3F684DE4">
      <w:pPr>
        <w:pStyle w:val="6"/>
        <w:shd w:val="clear" w:color="auto" w:fill="FFFFFF"/>
        <w:spacing w:before="151" w:after="432"/>
        <w:ind w:firstLine="640" w:firstLineChars="200"/>
        <w:rPr>
          <w:rFonts w:ascii="仿宋" w:hAnsi="仿宋" w:eastAsia="仿宋" w:cs="Arial"/>
          <w:color w:val="191919"/>
          <w:sz w:val="32"/>
          <w:szCs w:val="32"/>
        </w:rPr>
      </w:pPr>
      <w:r>
        <w:rPr>
          <w:rFonts w:hint="eastAsia" w:ascii="仿宋" w:hAnsi="仿宋" w:eastAsia="仿宋" w:cs="Arial"/>
          <w:color w:val="191919"/>
          <w:sz w:val="32"/>
          <w:szCs w:val="32"/>
        </w:rPr>
        <w:t>8.</w:t>
      </w:r>
      <w:r>
        <w:rPr>
          <w:rFonts w:hint="eastAsia"/>
        </w:rPr>
        <w:t xml:space="preserve"> </w:t>
      </w:r>
      <w:r>
        <w:rPr>
          <w:rFonts w:hint="eastAsia" w:ascii="仿宋" w:hAnsi="仿宋" w:eastAsia="仿宋" w:cs="Arial"/>
          <w:color w:val="191919"/>
          <w:sz w:val="32"/>
          <w:szCs w:val="32"/>
        </w:rPr>
        <w:t>企业遗失经营资格证书的，应当在注册地主要媒体声明作废后，按照管理权限向商务主管部门申请补领。已变更、注销、吊销或到期换证的经营资格证书应交回发证机关，其他任何企业和个人不得私自收存。</w:t>
      </w:r>
    </w:p>
    <w:p w14:paraId="32FA5A6A">
      <w:pPr>
        <w:autoSpaceDE w:val="0"/>
        <w:autoSpaceDN w:val="0"/>
        <w:adjustRightInd w:val="0"/>
        <w:ind w:firstLine="595" w:firstLineChars="186"/>
        <w:jc w:val="left"/>
        <w:rPr>
          <w:rFonts w:ascii="仿宋" w:hAnsi="仿宋" w:eastAsia="仿宋" w:cs="楷体_GB2312"/>
          <w:kern w:val="0"/>
          <w:sz w:val="32"/>
          <w:szCs w:val="32"/>
        </w:rPr>
      </w:pPr>
      <w:r>
        <w:rPr>
          <w:rFonts w:hint="eastAsia" w:ascii="仿宋" w:hAnsi="仿宋" w:eastAsia="仿宋" w:cs="Arial"/>
          <w:color w:val="191919"/>
          <w:sz w:val="32"/>
          <w:szCs w:val="32"/>
        </w:rPr>
        <w:t>9.</w:t>
      </w:r>
      <w:r>
        <w:rPr>
          <w:rFonts w:hint="eastAsia" w:ascii="仿宋" w:hAnsi="仿宋" w:eastAsia="仿宋" w:cs="楷体_GB2312"/>
          <w:kern w:val="0"/>
          <w:sz w:val="32"/>
          <w:szCs w:val="32"/>
        </w:rPr>
        <w:t xml:space="preserve"> 成品油零售企业要求变更经营资格证书事项的，向县级商务主管部门提出申请，经初审合格后，报盟市级商务主管部门审批。企业要求变更经营资格证书有关事项的，应向申请部门提交下列文件：</w:t>
      </w:r>
    </w:p>
    <w:p w14:paraId="0EC5F36E">
      <w:pPr>
        <w:autoSpaceDE w:val="0"/>
        <w:autoSpaceDN w:val="0"/>
        <w:adjustRightInd w:val="0"/>
        <w:ind w:firstLine="755" w:firstLineChars="236"/>
        <w:jc w:val="left"/>
        <w:rPr>
          <w:rFonts w:ascii="仿宋" w:hAnsi="仿宋" w:eastAsia="仿宋" w:cs="楷体_GB2312"/>
          <w:kern w:val="0"/>
          <w:sz w:val="32"/>
          <w:szCs w:val="32"/>
        </w:rPr>
      </w:pPr>
      <w:r>
        <w:rPr>
          <w:rFonts w:hint="eastAsia" w:ascii="仿宋" w:hAnsi="仿宋" w:eastAsia="仿宋" w:cs="楷体_GB2312"/>
          <w:kern w:val="0"/>
          <w:sz w:val="32"/>
          <w:szCs w:val="32"/>
        </w:rPr>
        <w:t>变更后的企业营业执照、企业信息登记表、法定代表人（负责人）任职证明和新的法定代表人身份证明，《危险化学品经营许可证》，不涉及成品油零售网点迁移的经营地址变更，应提供经营场所合法使用证明，以及审核机关要求的其他文件。</w:t>
      </w:r>
    </w:p>
    <w:p w14:paraId="709A6921">
      <w:pPr>
        <w:autoSpaceDE w:val="0"/>
        <w:autoSpaceDN w:val="0"/>
        <w:adjustRightInd w:val="0"/>
        <w:ind w:firstLine="595" w:firstLineChars="186"/>
        <w:jc w:val="left"/>
        <w:rPr>
          <w:rFonts w:ascii="仿宋" w:hAnsi="仿宋" w:eastAsia="仿宋" w:cs="楷体_GB2312"/>
          <w:kern w:val="0"/>
          <w:sz w:val="32"/>
          <w:szCs w:val="32"/>
        </w:rPr>
      </w:pPr>
      <w:r>
        <w:rPr>
          <w:rFonts w:hint="eastAsia" w:ascii="仿宋" w:hAnsi="仿宋" w:eastAsia="仿宋" w:cs="楷体_GB2312"/>
          <w:kern w:val="0"/>
          <w:sz w:val="32"/>
          <w:szCs w:val="32"/>
        </w:rPr>
        <w:t>以租赁方式从事成品油零售经营的，应将成品油经营资格证书变更到经营者名下，在证书上标注“租赁经营”字样。承租方应持企业营业执照及消防、生态环境、应急等部门依法核发的成品油零售网点许可文件或验收合格文件办理成品油经营资格证书的变更手续，证书有效期不得超过合同终止时间；租赁合同期满不再续签的，及时将原油、成品油经营资格证书变更到新经营者名下。</w:t>
      </w:r>
    </w:p>
    <w:p w14:paraId="636EC7DB">
      <w:pPr>
        <w:autoSpaceDE w:val="0"/>
        <w:autoSpaceDN w:val="0"/>
        <w:adjustRightInd w:val="0"/>
        <w:ind w:firstLine="595" w:firstLineChars="186"/>
        <w:jc w:val="left"/>
        <w:rPr>
          <w:rFonts w:ascii="仿宋" w:hAnsi="仿宋" w:eastAsia="仿宋" w:cs="楷体_GB2312"/>
          <w:kern w:val="0"/>
          <w:sz w:val="32"/>
          <w:szCs w:val="32"/>
        </w:rPr>
      </w:pPr>
      <w:r>
        <w:rPr>
          <w:rFonts w:hint="eastAsia" w:ascii="仿宋" w:hAnsi="仿宋" w:eastAsia="仿宋" w:cs="楷体_GB2312"/>
          <w:kern w:val="0"/>
          <w:sz w:val="32"/>
          <w:szCs w:val="32"/>
        </w:rPr>
        <w:t>以特许经营等方式从事成品油零售经营的，应持双方签订的特许经营合同办理经营资格证书的变更手续，在证书上标注“特许经营”字样，证书有效期不得超过合同终止时间。</w:t>
      </w:r>
    </w:p>
    <w:p w14:paraId="26260A51">
      <w:pPr>
        <w:pStyle w:val="6"/>
        <w:shd w:val="clear" w:color="auto" w:fill="FFFFFF"/>
        <w:spacing w:before="151" w:beforeAutospacing="0" w:after="432" w:afterAutospacing="0"/>
        <w:ind w:firstLine="640" w:firstLineChars="200"/>
        <w:rPr>
          <w:rFonts w:ascii="仿宋" w:hAnsi="仿宋" w:eastAsia="仿宋" w:cs="Arial"/>
          <w:color w:val="191919"/>
          <w:sz w:val="32"/>
          <w:szCs w:val="32"/>
        </w:rPr>
      </w:pPr>
      <w:r>
        <w:rPr>
          <w:rFonts w:hint="eastAsia" w:ascii="仿宋" w:hAnsi="仿宋" w:eastAsia="仿宋" w:cs="Arial"/>
          <w:color w:val="191919"/>
          <w:sz w:val="32"/>
          <w:szCs w:val="32"/>
        </w:rPr>
        <w:t>10.</w:t>
      </w:r>
      <w:r>
        <w:rPr>
          <w:rFonts w:hint="eastAsia"/>
        </w:rPr>
        <w:t xml:space="preserve"> </w:t>
      </w:r>
      <w:r>
        <w:rPr>
          <w:rFonts w:hint="eastAsia" w:ascii="仿宋" w:hAnsi="仿宋" w:eastAsia="仿宋" w:cs="Arial"/>
          <w:color w:val="191919"/>
          <w:sz w:val="32"/>
          <w:szCs w:val="32"/>
        </w:rPr>
        <w:t>成品油经营企业经所在地盟市级商务主管部门批准，可以在救灾及灾后重建等特定领域临时性使用撬装式加油装置，并在批复时限到期后撤除。未经批准禁止使用撬装式加油装置对外从事成品油零售经营活动。</w:t>
      </w:r>
    </w:p>
    <w:p w14:paraId="0E30466B">
      <w:pPr>
        <w:pStyle w:val="6"/>
        <w:shd w:val="clear" w:color="auto" w:fill="FFFFFF"/>
        <w:spacing w:before="151" w:after="432"/>
        <w:ind w:firstLine="640" w:firstLineChars="200"/>
        <w:rPr>
          <w:rFonts w:ascii="仿宋" w:hAnsi="仿宋" w:eastAsia="仿宋" w:cs="楷体_GB2312"/>
          <w:sz w:val="32"/>
          <w:szCs w:val="32"/>
        </w:rPr>
      </w:pPr>
      <w:r>
        <w:rPr>
          <w:rFonts w:hint="eastAsia" w:ascii="仿宋" w:hAnsi="仿宋" w:eastAsia="仿宋" w:cs="楷体_GB2312"/>
          <w:sz w:val="32"/>
          <w:szCs w:val="32"/>
        </w:rPr>
        <w:t>11.</w:t>
      </w:r>
      <w:r>
        <w:rPr>
          <w:rFonts w:hint="eastAsia"/>
        </w:rPr>
        <w:t xml:space="preserve"> </w:t>
      </w:r>
      <w:r>
        <w:rPr>
          <w:rFonts w:hint="eastAsia" w:ascii="仿宋" w:hAnsi="仿宋" w:eastAsia="仿宋" w:cs="楷体_GB2312"/>
          <w:sz w:val="32"/>
          <w:szCs w:val="32"/>
        </w:rPr>
        <w:t>接受申请的商务主管部门在申请人申请材料齐全、符合法定形式，或者申请人按照要求提交全部补正申请材料后，应当受理成品油经营资格申请。认为申请材料不齐全或者不符合规定的，应当在收到申请之日起5日内告知申请人所需补正的内容或者将申请材料退回。逾期不告知或不退回的，视为受理。</w:t>
      </w:r>
    </w:p>
    <w:p w14:paraId="608C8E86">
      <w:pPr>
        <w:pStyle w:val="6"/>
        <w:shd w:val="clear" w:color="auto" w:fill="FFFFFF"/>
        <w:spacing w:before="151" w:after="432"/>
        <w:ind w:firstLine="640" w:firstLineChars="200"/>
        <w:rPr>
          <w:rFonts w:ascii="仿宋" w:hAnsi="仿宋" w:eastAsia="仿宋" w:cs="楷体_GB2312"/>
          <w:sz w:val="32"/>
          <w:szCs w:val="32"/>
        </w:rPr>
      </w:pPr>
      <w:r>
        <w:rPr>
          <w:rFonts w:hint="eastAsia" w:ascii="仿宋" w:hAnsi="仿宋" w:eastAsia="仿宋" w:cs="楷体_GB2312"/>
          <w:sz w:val="32"/>
          <w:szCs w:val="32"/>
        </w:rPr>
        <w:t>负责初审的商务主管部门应当在20日内完成审核，初审合格后，将初步审查意见及申请材料上报盟市审批部门。盟市商务主管部门应当派员对申请企业成品油零售网点的设立条件进行现场核查、验收，并于20日内完成审核。对符合条件的，给予成品油零售经营许可，并颁发《成品油零售经营批准证书》；对不符合条件的，将不予许可的决定及理由书面通知申请人。</w:t>
      </w:r>
    </w:p>
    <w:p w14:paraId="475ACACB">
      <w:pPr>
        <w:autoSpaceDE w:val="0"/>
        <w:autoSpaceDN w:val="0"/>
        <w:adjustRightInd w:val="0"/>
        <w:ind w:firstLine="595" w:firstLineChars="186"/>
        <w:jc w:val="left"/>
        <w:rPr>
          <w:rFonts w:ascii="仿宋" w:hAnsi="仿宋" w:eastAsia="仿宋" w:cs="楷体_GB2312"/>
          <w:kern w:val="0"/>
          <w:sz w:val="32"/>
          <w:szCs w:val="32"/>
        </w:rPr>
      </w:pPr>
      <w:r>
        <w:rPr>
          <w:rFonts w:hint="eastAsia" w:ascii="仿宋" w:hAnsi="仿宋" w:eastAsia="仿宋" w:cs="楷体_GB2312"/>
          <w:sz w:val="32"/>
          <w:szCs w:val="32"/>
        </w:rPr>
        <w:t>12.</w:t>
      </w:r>
      <w:r>
        <w:rPr>
          <w:rFonts w:hint="eastAsia" w:ascii="仿宋" w:hAnsi="仿宋" w:eastAsia="仿宋" w:cs="楷体_GB2312"/>
          <w:kern w:val="0"/>
          <w:sz w:val="32"/>
          <w:szCs w:val="32"/>
        </w:rPr>
        <w:t xml:space="preserve"> 企业申请成品油零售经营资格，有下列情形之一的，商务主管部门应当作出不予受理或者不予许可的决定：</w:t>
      </w:r>
    </w:p>
    <w:p w14:paraId="0BC53E32">
      <w:pPr>
        <w:autoSpaceDE w:val="0"/>
        <w:autoSpaceDN w:val="0"/>
        <w:adjustRightInd w:val="0"/>
        <w:ind w:firstLine="595" w:firstLineChars="186"/>
        <w:jc w:val="left"/>
        <w:rPr>
          <w:rFonts w:ascii="仿宋" w:hAnsi="仿宋" w:eastAsia="仿宋" w:cs="楷体_GB2312"/>
          <w:kern w:val="0"/>
          <w:sz w:val="32"/>
          <w:szCs w:val="32"/>
        </w:rPr>
      </w:pPr>
      <w:r>
        <w:rPr>
          <w:rFonts w:hint="eastAsia" w:ascii="仿宋" w:hAnsi="仿宋" w:eastAsia="仿宋" w:cs="楷体_GB2312"/>
          <w:kern w:val="0"/>
          <w:sz w:val="32"/>
          <w:szCs w:val="32"/>
        </w:rPr>
        <w:t>（1）隐瞒有关真实情况或提供虚假材料的；</w:t>
      </w:r>
    </w:p>
    <w:p w14:paraId="0BC0F106">
      <w:pPr>
        <w:autoSpaceDE w:val="0"/>
        <w:autoSpaceDN w:val="0"/>
        <w:adjustRightInd w:val="0"/>
        <w:ind w:firstLine="595" w:firstLineChars="186"/>
        <w:jc w:val="left"/>
        <w:rPr>
          <w:rFonts w:ascii="仿宋" w:hAnsi="仿宋" w:eastAsia="仿宋" w:cs="楷体_GB2312"/>
          <w:kern w:val="0"/>
          <w:sz w:val="32"/>
          <w:szCs w:val="32"/>
        </w:rPr>
      </w:pPr>
      <w:r>
        <w:rPr>
          <w:rFonts w:hint="eastAsia" w:ascii="仿宋" w:hAnsi="仿宋" w:eastAsia="仿宋" w:cs="楷体_GB2312"/>
          <w:kern w:val="0"/>
          <w:sz w:val="32"/>
          <w:szCs w:val="32"/>
        </w:rPr>
        <w:t>（2）违反有关政策和申请程序，情节严重的；</w:t>
      </w:r>
    </w:p>
    <w:p w14:paraId="00C96CCF">
      <w:pPr>
        <w:autoSpaceDE w:val="0"/>
        <w:autoSpaceDN w:val="0"/>
        <w:adjustRightInd w:val="0"/>
        <w:ind w:firstLine="595" w:firstLineChars="186"/>
        <w:jc w:val="left"/>
        <w:rPr>
          <w:rFonts w:ascii="仿宋" w:hAnsi="仿宋" w:eastAsia="仿宋" w:cs="楷体_GB2312"/>
          <w:b/>
          <w:kern w:val="0"/>
          <w:sz w:val="32"/>
          <w:szCs w:val="32"/>
        </w:rPr>
      </w:pPr>
      <w:r>
        <w:rPr>
          <w:rFonts w:hint="eastAsia" w:ascii="仿宋" w:hAnsi="仿宋" w:eastAsia="仿宋" w:cs="楷体_GB2312"/>
          <w:kern w:val="0"/>
          <w:sz w:val="32"/>
          <w:szCs w:val="32"/>
        </w:rPr>
        <w:t>（3）存在无证经营原油、成品油行为的</w:t>
      </w:r>
      <w:r>
        <w:rPr>
          <w:rFonts w:hint="eastAsia" w:ascii="仿宋" w:hAnsi="仿宋" w:eastAsia="仿宋" w:cs="楷体_GB2312"/>
          <w:b/>
          <w:kern w:val="0"/>
          <w:sz w:val="32"/>
          <w:szCs w:val="32"/>
        </w:rPr>
        <w:t>；</w:t>
      </w:r>
    </w:p>
    <w:p w14:paraId="7FD1859F">
      <w:pPr>
        <w:autoSpaceDE w:val="0"/>
        <w:autoSpaceDN w:val="0"/>
        <w:adjustRightInd w:val="0"/>
        <w:ind w:firstLine="595" w:firstLineChars="186"/>
        <w:jc w:val="left"/>
        <w:rPr>
          <w:rFonts w:ascii="仿宋" w:hAnsi="仿宋" w:eastAsia="仿宋" w:cs="楷体_GB2312"/>
          <w:kern w:val="0"/>
          <w:sz w:val="32"/>
          <w:szCs w:val="32"/>
        </w:rPr>
      </w:pPr>
      <w:r>
        <w:rPr>
          <w:rFonts w:hint="eastAsia" w:ascii="仿宋" w:hAnsi="仿宋" w:eastAsia="仿宋" w:cs="楷体_GB2312"/>
          <w:kern w:val="0"/>
          <w:sz w:val="32"/>
          <w:szCs w:val="32"/>
        </w:rPr>
        <w:t>（4）擅自新建、迁建和改（扩）建成品油零售网点的；</w:t>
      </w:r>
    </w:p>
    <w:p w14:paraId="3BCBD91B">
      <w:pPr>
        <w:autoSpaceDE w:val="0"/>
        <w:autoSpaceDN w:val="0"/>
        <w:adjustRightInd w:val="0"/>
        <w:ind w:firstLine="595" w:firstLineChars="186"/>
        <w:jc w:val="left"/>
        <w:rPr>
          <w:rFonts w:ascii="仿宋" w:hAnsi="仿宋" w:eastAsia="仿宋" w:cs="楷体_GB2312"/>
          <w:kern w:val="0"/>
          <w:sz w:val="32"/>
          <w:szCs w:val="32"/>
        </w:rPr>
      </w:pPr>
      <w:r>
        <w:rPr>
          <w:rFonts w:hint="eastAsia" w:ascii="仿宋" w:hAnsi="仿宋" w:eastAsia="仿宋" w:cs="楷体_GB2312"/>
          <w:kern w:val="0"/>
          <w:sz w:val="32"/>
          <w:szCs w:val="32"/>
        </w:rPr>
        <w:t>（5）申请主体存在严重违法失信行为的。</w:t>
      </w:r>
    </w:p>
    <w:p w14:paraId="2560C7B2">
      <w:pPr>
        <w:pStyle w:val="6"/>
        <w:shd w:val="clear" w:color="auto" w:fill="FFFFFF"/>
        <w:spacing w:before="151" w:beforeAutospacing="0" w:after="432" w:afterAutospacing="0"/>
        <w:ind w:firstLine="643" w:firstLineChars="200"/>
        <w:rPr>
          <w:rFonts w:ascii="仿宋" w:hAnsi="仿宋" w:eastAsia="仿宋" w:cs="Arial"/>
          <w:b/>
          <w:color w:val="191919"/>
          <w:sz w:val="32"/>
          <w:szCs w:val="32"/>
        </w:rPr>
      </w:pPr>
      <w:r>
        <w:rPr>
          <w:rFonts w:ascii="仿宋" w:hAnsi="仿宋" w:eastAsia="仿宋" w:cs="Arial"/>
          <w:b/>
          <w:color w:val="191919"/>
          <w:sz w:val="32"/>
          <w:szCs w:val="32"/>
        </w:rPr>
        <w:t>（</w:t>
      </w:r>
      <w:r>
        <w:rPr>
          <w:rFonts w:hint="eastAsia" w:ascii="仿宋" w:hAnsi="仿宋" w:eastAsia="仿宋" w:cs="Arial"/>
          <w:b/>
          <w:color w:val="191919"/>
          <w:sz w:val="32"/>
          <w:szCs w:val="32"/>
        </w:rPr>
        <w:t>三</w:t>
      </w:r>
      <w:r>
        <w:rPr>
          <w:rFonts w:ascii="仿宋" w:hAnsi="仿宋" w:eastAsia="仿宋" w:cs="Arial"/>
          <w:b/>
          <w:color w:val="191919"/>
          <w:sz w:val="32"/>
          <w:szCs w:val="32"/>
        </w:rPr>
        <w:t>）</w:t>
      </w:r>
      <w:r>
        <w:rPr>
          <w:rFonts w:hint="eastAsia" w:ascii="仿宋" w:hAnsi="仿宋" w:eastAsia="仿宋" w:cs="Arial"/>
          <w:b/>
          <w:color w:val="191919"/>
          <w:sz w:val="32"/>
          <w:szCs w:val="32"/>
        </w:rPr>
        <w:t>完善退出机制</w:t>
      </w:r>
    </w:p>
    <w:p w14:paraId="7DF8964E">
      <w:pPr>
        <w:pStyle w:val="6"/>
        <w:shd w:val="clear" w:color="auto" w:fill="FFFFFF"/>
        <w:spacing w:before="151" w:beforeAutospacing="0" w:after="432" w:afterAutospacing="0"/>
        <w:ind w:firstLine="640" w:firstLineChars="200"/>
        <w:rPr>
          <w:rFonts w:ascii="仿宋" w:hAnsi="仿宋" w:eastAsia="仿宋" w:cs="Arial"/>
          <w:color w:val="191919"/>
          <w:sz w:val="32"/>
          <w:szCs w:val="32"/>
        </w:rPr>
      </w:pPr>
      <w:r>
        <w:rPr>
          <w:rFonts w:hint="eastAsia" w:ascii="仿宋" w:hAnsi="仿宋" w:eastAsia="仿宋" w:cs="Arial"/>
          <w:color w:val="191919"/>
          <w:sz w:val="32"/>
          <w:szCs w:val="32"/>
        </w:rPr>
        <w:t>1.</w:t>
      </w:r>
      <w:r>
        <w:rPr>
          <w:rFonts w:ascii="仿宋" w:hAnsi="仿宋" w:eastAsia="仿宋" w:cs="Arial"/>
          <w:color w:val="191919"/>
          <w:sz w:val="32"/>
          <w:szCs w:val="32"/>
        </w:rPr>
        <w:t xml:space="preserve"> </w:t>
      </w:r>
      <w:r>
        <w:rPr>
          <w:rFonts w:hint="eastAsia" w:ascii="仿宋" w:hAnsi="仿宋" w:eastAsia="仿宋" w:cs="Arial"/>
          <w:color w:val="191919"/>
          <w:sz w:val="32"/>
          <w:szCs w:val="32"/>
        </w:rPr>
        <w:t>成品油</w:t>
      </w:r>
      <w:r>
        <w:rPr>
          <w:rFonts w:ascii="仿宋" w:hAnsi="仿宋" w:eastAsia="仿宋" w:cs="Arial"/>
          <w:color w:val="191919"/>
          <w:sz w:val="32"/>
          <w:szCs w:val="32"/>
        </w:rPr>
        <w:t>经营资格证书不得伪造、涂改,不得买卖、出租、转借或者以任何其他形式转让。</w:t>
      </w:r>
    </w:p>
    <w:p w14:paraId="0A121BA9">
      <w:pPr>
        <w:pStyle w:val="6"/>
        <w:shd w:val="clear" w:color="auto" w:fill="FFFFFF"/>
        <w:spacing w:before="151" w:after="432"/>
        <w:ind w:firstLine="640" w:firstLineChars="200"/>
        <w:rPr>
          <w:rFonts w:ascii="仿宋" w:hAnsi="仿宋" w:eastAsia="仿宋" w:cs="Arial"/>
          <w:color w:val="191919"/>
          <w:sz w:val="32"/>
          <w:szCs w:val="32"/>
        </w:rPr>
      </w:pPr>
      <w:r>
        <w:rPr>
          <w:rFonts w:hint="eastAsia" w:ascii="仿宋" w:hAnsi="仿宋" w:eastAsia="仿宋" w:cs="Arial"/>
          <w:color w:val="191919"/>
          <w:sz w:val="32"/>
          <w:szCs w:val="32"/>
        </w:rPr>
        <w:t>2.</w:t>
      </w:r>
      <w:r>
        <w:rPr>
          <w:rFonts w:hint="eastAsia"/>
        </w:rPr>
        <w:t xml:space="preserve"> </w:t>
      </w:r>
      <w:r>
        <w:rPr>
          <w:rFonts w:hint="eastAsia" w:ascii="仿宋" w:hAnsi="仿宋" w:eastAsia="仿宋" w:cs="Arial"/>
          <w:color w:val="191919"/>
          <w:sz w:val="32"/>
          <w:szCs w:val="32"/>
        </w:rPr>
        <w:t>成品油零售经营企业停歇业6个月以上或终止经营的，应当到所在地盟市级商务主管部门办理停歇业手续或经营资格注销手续，停歇业一般不应超过12个月。对因自然灾害、城乡规划调整、城市建设等原因造成停歇业或无法正常经营的成品油零售经营企业，经企业所在盟市商务主管部门同意，可延长停歇业时间。</w:t>
      </w:r>
    </w:p>
    <w:p w14:paraId="0D1C3B88">
      <w:pPr>
        <w:pStyle w:val="6"/>
        <w:shd w:val="clear" w:color="auto" w:fill="FFFFFF"/>
        <w:spacing w:before="151" w:beforeAutospacing="0" w:after="432" w:afterAutospacing="0"/>
        <w:ind w:firstLine="640" w:firstLineChars="200"/>
        <w:rPr>
          <w:rFonts w:ascii="仿宋" w:hAnsi="仿宋" w:eastAsia="仿宋" w:cs="楷体_GB2312"/>
          <w:sz w:val="32"/>
          <w:szCs w:val="32"/>
        </w:rPr>
      </w:pPr>
      <w:r>
        <w:rPr>
          <w:rFonts w:hint="eastAsia" w:ascii="仿宋" w:hAnsi="仿宋" w:eastAsia="仿宋" w:cs="Arial"/>
          <w:color w:val="191919"/>
          <w:sz w:val="32"/>
          <w:szCs w:val="32"/>
        </w:rPr>
        <w:t>3.</w:t>
      </w:r>
      <w:r>
        <w:rPr>
          <w:rFonts w:hint="eastAsia" w:ascii="仿宋" w:hAnsi="仿宋" w:eastAsia="仿宋" w:cs="楷体_GB2312"/>
          <w:sz w:val="32"/>
          <w:szCs w:val="32"/>
        </w:rPr>
        <w:t>成品油零售经营企业应当接受商务主管部门的年度定期检查，对无故不参加年度审查或审查不合格，且限期整改不到位的企业，发证机关可注销其成品油零售经营资格证书。</w:t>
      </w:r>
    </w:p>
    <w:p w14:paraId="26E0014F">
      <w:pPr>
        <w:pStyle w:val="6"/>
        <w:shd w:val="clear" w:color="auto" w:fill="FFFFFF"/>
        <w:spacing w:before="0" w:beforeAutospacing="0" w:after="0" w:afterAutospacing="0"/>
        <w:ind w:firstLine="643" w:firstLineChars="200"/>
        <w:rPr>
          <w:rStyle w:val="9"/>
          <w:rFonts w:ascii="仿宋" w:hAnsi="仿宋" w:eastAsia="仿宋" w:cs="Arial"/>
          <w:color w:val="191919"/>
          <w:sz w:val="32"/>
          <w:szCs w:val="32"/>
        </w:rPr>
      </w:pPr>
      <w:r>
        <w:rPr>
          <w:rStyle w:val="9"/>
          <w:rFonts w:hint="eastAsia" w:ascii="仿宋" w:hAnsi="仿宋" w:eastAsia="仿宋" w:cs="Arial"/>
          <w:color w:val="191919"/>
          <w:sz w:val="32"/>
          <w:szCs w:val="32"/>
        </w:rPr>
        <w:t>四</w:t>
      </w:r>
      <w:r>
        <w:rPr>
          <w:rStyle w:val="9"/>
          <w:rFonts w:ascii="仿宋" w:hAnsi="仿宋" w:eastAsia="仿宋" w:cs="Arial"/>
          <w:color w:val="191919"/>
          <w:sz w:val="32"/>
          <w:szCs w:val="32"/>
        </w:rPr>
        <w:t>、依法依规加强监管</w:t>
      </w:r>
    </w:p>
    <w:p w14:paraId="3DF27FBC">
      <w:pPr>
        <w:widowControl/>
        <w:ind w:firstLine="640"/>
        <w:jc w:val="left"/>
        <w:rPr>
          <w:rFonts w:ascii="仿宋" w:hAnsi="仿宋" w:eastAsia="仿宋" w:cs="宋体"/>
          <w:kern w:val="0"/>
          <w:sz w:val="32"/>
          <w:szCs w:val="32"/>
        </w:rPr>
      </w:pPr>
      <w:r>
        <w:rPr>
          <w:rFonts w:hint="eastAsia" w:ascii="仿宋" w:hAnsi="仿宋" w:eastAsia="仿宋" w:cs="宋体"/>
          <w:kern w:val="0"/>
          <w:sz w:val="32"/>
          <w:szCs w:val="32"/>
        </w:rPr>
        <w:t>各盟市要全面贯彻《国务院关于加强和规范事中事后监管的指导意见》（国发〔2019〕18号）精神，进一步优化行政服务，创新管理手段，推进“互联网</w:t>
      </w:r>
      <w:r>
        <w:rPr>
          <w:rFonts w:ascii="仿宋" w:hAnsi="仿宋" w:eastAsia="仿宋" w:cs="Times New Roman"/>
          <w:kern w:val="0"/>
          <w:sz w:val="32"/>
          <w:szCs w:val="32"/>
        </w:rPr>
        <w:t>+</w:t>
      </w:r>
      <w:r>
        <w:rPr>
          <w:rFonts w:hint="eastAsia" w:ascii="仿宋" w:hAnsi="仿宋" w:eastAsia="仿宋" w:cs="宋体"/>
          <w:kern w:val="0"/>
          <w:sz w:val="32"/>
          <w:szCs w:val="32"/>
        </w:rPr>
        <w:t>监管”，持续开展</w:t>
      </w:r>
      <w:r>
        <w:rPr>
          <w:rFonts w:hint="eastAsia" w:ascii="仿宋" w:hAnsi="仿宋" w:eastAsia="仿宋" w:cs="宋体"/>
          <w:kern w:val="0"/>
          <w:sz w:val="32"/>
          <w:szCs w:val="32"/>
          <w:lang w:eastAsia="zh-CN"/>
        </w:rPr>
        <w:t>“双随机、一公开”</w:t>
      </w:r>
      <w:r>
        <w:rPr>
          <w:rFonts w:hint="eastAsia" w:ascii="仿宋" w:hAnsi="仿宋" w:eastAsia="仿宋" w:cs="宋体"/>
          <w:kern w:val="0"/>
          <w:sz w:val="32"/>
          <w:szCs w:val="32"/>
        </w:rPr>
        <w:t>检查，建立“黑名单”曝光和通报机制，及时查处违法违规行为，并向社会公开。应建立健全成品油流通领域信用体系，加强信用监管，建立信用档案，对少数企业或个人在政策过渡期间违法违规从事成品油批发和零售业务的要坚决查处、严厉打击，列入商务领域信用“黑名单”，确保我区成品油流通平稳有序健康发展。</w:t>
      </w:r>
    </w:p>
    <w:p w14:paraId="5444BA1D">
      <w:pPr>
        <w:pStyle w:val="6"/>
        <w:shd w:val="clear" w:color="auto" w:fill="FFFFFF"/>
        <w:spacing w:before="151" w:beforeAutospacing="0" w:after="432" w:afterAutospacing="0"/>
        <w:ind w:firstLine="482" w:firstLineChars="150"/>
        <w:rPr>
          <w:rFonts w:ascii="仿宋" w:hAnsi="仿宋" w:eastAsia="仿宋" w:cs="Arial"/>
          <w:color w:val="191919"/>
          <w:sz w:val="32"/>
          <w:szCs w:val="32"/>
        </w:rPr>
      </w:pPr>
      <w:r>
        <w:rPr>
          <w:rFonts w:ascii="仿宋" w:hAnsi="仿宋" w:eastAsia="仿宋" w:cs="Arial"/>
          <w:b/>
          <w:color w:val="191919"/>
          <w:sz w:val="32"/>
          <w:szCs w:val="32"/>
        </w:rPr>
        <w:t>（一）健全经营管理制度。</w:t>
      </w:r>
      <w:r>
        <w:rPr>
          <w:rFonts w:hint="eastAsia" w:ascii="仿宋" w:hAnsi="仿宋" w:eastAsia="仿宋" w:cs="Arial"/>
          <w:color w:val="191919"/>
          <w:sz w:val="32"/>
          <w:szCs w:val="32"/>
        </w:rPr>
        <w:t>各盟市商务主管部门应</w:t>
      </w:r>
      <w:r>
        <w:rPr>
          <w:rFonts w:ascii="仿宋" w:hAnsi="仿宋" w:eastAsia="仿宋" w:cs="Arial"/>
          <w:color w:val="191919"/>
          <w:sz w:val="32"/>
          <w:szCs w:val="32"/>
        </w:rPr>
        <w:t>指导成品油流通企业健全油品进、销、存和出入库管理台帐制度，建立油品来源、销售去向、检验报告、检查记录等凭证材料档案；建立完善的质量、安全和环境保护管理制度,配备相关领域专业技术人员和治安保卫人员，定期开展安全生产、消防、反恐、应急处置、环境保护和质量计量等专业培训；按规定向主管部门报送企业经营情况等统计信息。</w:t>
      </w:r>
    </w:p>
    <w:p w14:paraId="1CFF4C84">
      <w:pPr>
        <w:pStyle w:val="6"/>
        <w:shd w:val="clear" w:color="auto" w:fill="FFFFFF"/>
        <w:spacing w:before="151" w:beforeAutospacing="0" w:after="432" w:afterAutospacing="0"/>
        <w:ind w:firstLine="482" w:firstLineChars="150"/>
        <w:rPr>
          <w:rFonts w:ascii="仿宋" w:hAnsi="仿宋" w:eastAsia="仿宋" w:cs="Arial"/>
          <w:color w:val="191919"/>
          <w:sz w:val="32"/>
          <w:szCs w:val="32"/>
        </w:rPr>
      </w:pPr>
      <w:r>
        <w:rPr>
          <w:rFonts w:ascii="仿宋" w:hAnsi="仿宋" w:eastAsia="仿宋" w:cs="Arial"/>
          <w:b/>
          <w:color w:val="191919"/>
          <w:sz w:val="32"/>
          <w:szCs w:val="32"/>
        </w:rPr>
        <w:t>（二）强化安全管理。</w:t>
      </w:r>
      <w:r>
        <w:rPr>
          <w:rFonts w:hint="eastAsia" w:ascii="仿宋" w:hAnsi="仿宋" w:eastAsia="仿宋" w:cs="Arial"/>
          <w:color w:val="191919"/>
          <w:sz w:val="32"/>
          <w:szCs w:val="32"/>
        </w:rPr>
        <w:t>扎实推进成品油流通领域安全治理体系和治理能力现代化。进一步落实成品油流通领域贮存、经营等环节相关安全责任，强化企业主体责任，建立完善双重预防体系；落实属地管理责任，加大对重点隐患和安全生产违法行为的执法力度，积极开展联合执法，坚决遏制成品油流通领域较大以上事故，</w:t>
      </w:r>
      <w:r>
        <w:rPr>
          <w:rFonts w:ascii="仿宋" w:hAnsi="仿宋" w:eastAsia="仿宋" w:cs="Arial"/>
          <w:color w:val="191919"/>
          <w:sz w:val="32"/>
          <w:szCs w:val="32"/>
        </w:rPr>
        <w:t>切实加强成品油流通安全管理。</w:t>
      </w:r>
    </w:p>
    <w:p w14:paraId="5CB65BFE">
      <w:pPr>
        <w:pStyle w:val="6"/>
        <w:shd w:val="clear" w:color="auto" w:fill="FFFFFF"/>
        <w:spacing w:before="151" w:beforeAutospacing="0" w:after="432" w:afterAutospacing="0"/>
        <w:ind w:firstLine="482" w:firstLineChars="150"/>
        <w:rPr>
          <w:rFonts w:ascii="仿宋" w:hAnsi="仿宋" w:eastAsia="仿宋" w:cs="Arial"/>
          <w:color w:val="191919"/>
          <w:sz w:val="32"/>
          <w:szCs w:val="32"/>
        </w:rPr>
      </w:pPr>
      <w:r>
        <w:rPr>
          <w:rFonts w:ascii="仿宋" w:hAnsi="仿宋" w:eastAsia="仿宋" w:cs="Arial"/>
          <w:b/>
          <w:color w:val="191919"/>
          <w:sz w:val="32"/>
          <w:szCs w:val="32"/>
        </w:rPr>
        <w:t>（三）完善信用管理。</w:t>
      </w:r>
      <w:r>
        <w:rPr>
          <w:rFonts w:hint="eastAsia" w:ascii="仿宋" w:hAnsi="仿宋" w:eastAsia="仿宋" w:cs="Arial"/>
          <w:color w:val="191919"/>
          <w:sz w:val="32"/>
          <w:szCs w:val="32"/>
        </w:rPr>
        <w:t>各盟市可结合当地实际，建立健全企业信用记录、“黑名单”、部门通报、举报投诉处理等制度，对失信主体加大曝光力度，充分发挥部门联合惩戒和社会监督作用，提升信用监管效能；推行信用承诺制度，将信用承诺履行情况纳入信用记录。在年度定期检查和</w:t>
      </w:r>
      <w:r>
        <w:rPr>
          <w:rFonts w:hint="eastAsia" w:ascii="仿宋" w:hAnsi="仿宋" w:eastAsia="仿宋" w:cs="Arial"/>
          <w:color w:val="191919"/>
          <w:sz w:val="32"/>
          <w:szCs w:val="32"/>
          <w:lang w:eastAsia="zh-CN"/>
        </w:rPr>
        <w:t>“双随机、一公开”</w:t>
      </w:r>
      <w:r>
        <w:rPr>
          <w:rFonts w:hint="eastAsia" w:ascii="仿宋" w:hAnsi="仿宋" w:eastAsia="仿宋" w:cs="Arial"/>
          <w:color w:val="191919"/>
          <w:sz w:val="32"/>
          <w:szCs w:val="32"/>
        </w:rPr>
        <w:t>不定期检查中推进信用分组分类监管，依据企业信用情况，在监管方式、抽查比例和频次等方面采取差异化措施。充分发挥行业协会作用，加强行业自律。</w:t>
      </w:r>
    </w:p>
    <w:p w14:paraId="403DAC28">
      <w:pPr>
        <w:widowControl/>
        <w:ind w:firstLine="482" w:firstLineChars="150"/>
        <w:jc w:val="left"/>
        <w:rPr>
          <w:rFonts w:ascii="仿宋" w:hAnsi="仿宋" w:eastAsia="仿宋" w:cs="宋体"/>
          <w:b/>
          <w:kern w:val="0"/>
          <w:sz w:val="32"/>
          <w:szCs w:val="32"/>
        </w:rPr>
      </w:pPr>
      <w:r>
        <w:rPr>
          <w:rFonts w:hint="eastAsia" w:ascii="仿宋" w:hAnsi="仿宋" w:eastAsia="仿宋" w:cs="宋体"/>
          <w:b/>
          <w:kern w:val="0"/>
          <w:sz w:val="32"/>
          <w:szCs w:val="32"/>
        </w:rPr>
        <w:t>（四）做好污染防治工作。</w:t>
      </w:r>
    </w:p>
    <w:p w14:paraId="74F38AF3">
      <w:pPr>
        <w:widowControl/>
        <w:ind w:firstLine="640"/>
        <w:jc w:val="left"/>
        <w:rPr>
          <w:rFonts w:ascii="仿宋" w:hAnsi="仿宋" w:eastAsia="仿宋" w:cs="Arial"/>
          <w:color w:val="191919"/>
          <w:kern w:val="0"/>
          <w:sz w:val="32"/>
          <w:szCs w:val="32"/>
        </w:rPr>
      </w:pPr>
      <w:r>
        <w:rPr>
          <w:rFonts w:hint="eastAsia" w:ascii="仿宋" w:hAnsi="仿宋" w:eastAsia="仿宋" w:cs="Arial"/>
          <w:color w:val="191919"/>
          <w:kern w:val="0"/>
          <w:sz w:val="32"/>
          <w:szCs w:val="32"/>
        </w:rPr>
        <w:t>各级商务主管部门要在属地政府和生态环境部门统一指导下，持续做好加油站、储油库油气回收治理、车用尿素供应、加油站地下油罐防渗改造和成品油质量升级等环境污染防治工作。并按照《中共中央办公厅 国务院办公厅关于印发〈中央和国家机关有关部门生态环境保护责任清单〉的通知》（</w:t>
      </w:r>
      <w:r>
        <w:rPr>
          <w:rFonts w:ascii="仿宋" w:hAnsi="仿宋" w:eastAsia="仿宋" w:cs="Arial"/>
          <w:color w:val="191919"/>
          <w:kern w:val="0"/>
          <w:sz w:val="32"/>
          <w:szCs w:val="32"/>
        </w:rPr>
        <w:t>2020</w:t>
      </w:r>
      <w:r>
        <w:rPr>
          <w:rFonts w:hint="eastAsia" w:ascii="仿宋" w:hAnsi="仿宋" w:eastAsia="仿宋" w:cs="Arial"/>
          <w:color w:val="191919"/>
          <w:kern w:val="0"/>
          <w:sz w:val="32"/>
          <w:szCs w:val="32"/>
        </w:rPr>
        <w:t>年</w:t>
      </w:r>
      <w:r>
        <w:rPr>
          <w:rFonts w:ascii="仿宋" w:hAnsi="仿宋" w:eastAsia="仿宋" w:cs="Arial"/>
          <w:color w:val="191919"/>
          <w:kern w:val="0"/>
          <w:sz w:val="32"/>
          <w:szCs w:val="32"/>
        </w:rPr>
        <w:t>3</w:t>
      </w:r>
      <w:r>
        <w:rPr>
          <w:rFonts w:hint="eastAsia" w:ascii="仿宋" w:hAnsi="仿宋" w:eastAsia="仿宋" w:cs="Arial"/>
          <w:color w:val="191919"/>
          <w:kern w:val="0"/>
          <w:sz w:val="32"/>
          <w:szCs w:val="32"/>
        </w:rPr>
        <w:t>月</w:t>
      </w:r>
      <w:r>
        <w:rPr>
          <w:rFonts w:ascii="仿宋" w:hAnsi="仿宋" w:eastAsia="仿宋" w:cs="Arial"/>
          <w:color w:val="191919"/>
          <w:kern w:val="0"/>
          <w:sz w:val="32"/>
          <w:szCs w:val="32"/>
        </w:rPr>
        <w:t>4</w:t>
      </w:r>
      <w:r>
        <w:rPr>
          <w:rFonts w:hint="eastAsia" w:ascii="仿宋" w:hAnsi="仿宋" w:eastAsia="仿宋" w:cs="Arial"/>
          <w:color w:val="191919"/>
          <w:kern w:val="0"/>
          <w:sz w:val="32"/>
          <w:szCs w:val="32"/>
        </w:rPr>
        <w:t>日）确定的职责，认真履行商务主管部门各项环保责任。</w:t>
      </w:r>
    </w:p>
    <w:p w14:paraId="4B9B6809">
      <w:pPr>
        <w:pStyle w:val="6"/>
        <w:shd w:val="clear" w:color="auto" w:fill="FFFFFF"/>
        <w:spacing w:before="151" w:beforeAutospacing="0" w:after="432" w:afterAutospacing="0"/>
        <w:ind w:firstLine="482" w:firstLineChars="150"/>
        <w:rPr>
          <w:rFonts w:ascii="仿宋" w:hAnsi="仿宋" w:eastAsia="仿宋" w:cs="Arial"/>
          <w:color w:val="191919"/>
          <w:sz w:val="32"/>
          <w:szCs w:val="32"/>
        </w:rPr>
      </w:pPr>
      <w:r>
        <w:rPr>
          <w:rFonts w:ascii="仿宋" w:hAnsi="仿宋" w:eastAsia="仿宋" w:cs="Arial"/>
          <w:b/>
          <w:color w:val="191919"/>
          <w:sz w:val="32"/>
          <w:szCs w:val="32"/>
        </w:rPr>
        <w:t>（</w:t>
      </w:r>
      <w:r>
        <w:rPr>
          <w:rFonts w:hint="eastAsia" w:ascii="仿宋" w:hAnsi="仿宋" w:eastAsia="仿宋" w:cs="Arial"/>
          <w:b/>
          <w:color w:val="191919"/>
          <w:sz w:val="32"/>
          <w:szCs w:val="32"/>
        </w:rPr>
        <w:t>五</w:t>
      </w:r>
      <w:r>
        <w:rPr>
          <w:rFonts w:ascii="仿宋" w:hAnsi="仿宋" w:eastAsia="仿宋" w:cs="Arial"/>
          <w:b/>
          <w:color w:val="191919"/>
          <w:sz w:val="32"/>
          <w:szCs w:val="32"/>
        </w:rPr>
        <w:t>）加强日常管理。</w:t>
      </w:r>
      <w:r>
        <w:rPr>
          <w:rFonts w:hint="eastAsia" w:ascii="仿宋" w:hAnsi="仿宋" w:eastAsia="仿宋" w:cs="Arial"/>
          <w:color w:val="191919"/>
          <w:sz w:val="32"/>
          <w:szCs w:val="32"/>
        </w:rPr>
        <w:t>各级商务部门应继续</w:t>
      </w:r>
      <w:r>
        <w:rPr>
          <w:rFonts w:ascii="仿宋" w:hAnsi="仿宋" w:eastAsia="仿宋" w:cs="Arial"/>
          <w:color w:val="191919"/>
          <w:sz w:val="32"/>
          <w:szCs w:val="32"/>
        </w:rPr>
        <w:t>做好成品油流通管理工作。对成品油零售企业开展年度定期检查，对检查中发现的违法违规行为及时查处，对涉及自然资源、生态环境、规划建设、反恐防范、消防气象、应急管理、水域监管、质量计量、市场监管等违法违规行为,将通报相关部门，提请其依照职责分工依法查处。各</w:t>
      </w:r>
      <w:r>
        <w:rPr>
          <w:rFonts w:hint="eastAsia" w:ascii="仿宋" w:hAnsi="仿宋" w:eastAsia="仿宋" w:cs="Arial"/>
          <w:color w:val="191919"/>
          <w:sz w:val="32"/>
          <w:szCs w:val="32"/>
        </w:rPr>
        <w:t>盟</w:t>
      </w:r>
      <w:r>
        <w:rPr>
          <w:rFonts w:ascii="仿宋" w:hAnsi="仿宋" w:eastAsia="仿宋" w:cs="Arial"/>
          <w:color w:val="191919"/>
          <w:sz w:val="32"/>
          <w:szCs w:val="32"/>
        </w:rPr>
        <w:t>市要加强属地管理，完善工作机制，明确职责分工，依法依规履职监管；要加强部门间协作交流，不断提升管理和服务水平，进一步健全“放管服”改革后成品油流通管理体制。</w:t>
      </w:r>
    </w:p>
    <w:p w14:paraId="0A4B0884">
      <w:pPr>
        <w:widowControl/>
        <w:ind w:firstLine="640"/>
        <w:jc w:val="left"/>
        <w:rPr>
          <w:rFonts w:ascii="仿宋" w:hAnsi="仿宋" w:eastAsia="仿宋" w:cs="宋体"/>
          <w:kern w:val="0"/>
          <w:sz w:val="32"/>
          <w:szCs w:val="32"/>
        </w:rPr>
      </w:pPr>
    </w:p>
    <w:p w14:paraId="7C6E79D1">
      <w:pPr>
        <w:widowControl/>
        <w:ind w:firstLine="640"/>
        <w:jc w:val="left"/>
        <w:rPr>
          <w:rFonts w:ascii="仿宋" w:hAnsi="仿宋" w:eastAsia="仿宋" w:cs="宋体"/>
          <w:kern w:val="0"/>
          <w:sz w:val="32"/>
          <w:szCs w:val="32"/>
        </w:rPr>
      </w:pPr>
    </w:p>
    <w:p w14:paraId="6C6AAAB9">
      <w:pPr>
        <w:widowControl/>
        <w:ind w:firstLine="640"/>
        <w:jc w:val="left"/>
        <w:rPr>
          <w:rFonts w:ascii="仿宋" w:hAnsi="仿宋" w:eastAsia="仿宋" w:cs="宋体"/>
          <w:kern w:val="0"/>
          <w:sz w:val="32"/>
          <w:szCs w:val="32"/>
        </w:rPr>
      </w:pPr>
    </w:p>
    <w:p w14:paraId="2AC40CE2">
      <w:pPr>
        <w:widowControl/>
        <w:jc w:val="right"/>
        <w:rPr>
          <w:rFonts w:ascii="仿宋" w:hAnsi="仿宋" w:eastAsia="仿宋" w:cs="宋体"/>
          <w:kern w:val="0"/>
          <w:sz w:val="32"/>
          <w:szCs w:val="32"/>
        </w:rPr>
      </w:pPr>
      <w:r>
        <w:rPr>
          <w:rFonts w:ascii="仿宋" w:hAnsi="仿宋" w:eastAsia="仿宋" w:cs="Times New Roman"/>
          <w:kern w:val="0"/>
          <w:sz w:val="32"/>
          <w:szCs w:val="32"/>
        </w:rPr>
        <w:t>2020</w:t>
      </w:r>
      <w:r>
        <w:rPr>
          <w:rFonts w:hint="eastAsia" w:ascii="仿宋" w:hAnsi="仿宋" w:eastAsia="仿宋" w:cs="宋体"/>
          <w:kern w:val="0"/>
          <w:sz w:val="32"/>
          <w:szCs w:val="32"/>
        </w:rPr>
        <w:t>年</w:t>
      </w:r>
      <w:r>
        <w:rPr>
          <w:rFonts w:hint="eastAsia" w:ascii="仿宋" w:hAnsi="仿宋" w:eastAsia="仿宋" w:cs="Times New Roman"/>
          <w:kern w:val="0"/>
          <w:sz w:val="32"/>
          <w:szCs w:val="32"/>
        </w:rPr>
        <w:t>10</w:t>
      </w:r>
      <w:r>
        <w:rPr>
          <w:rFonts w:hint="eastAsia" w:ascii="仿宋" w:hAnsi="仿宋" w:eastAsia="仿宋" w:cs="宋体"/>
          <w:kern w:val="0"/>
          <w:sz w:val="32"/>
          <w:szCs w:val="32"/>
        </w:rPr>
        <w:t>月</w:t>
      </w:r>
      <w:r>
        <w:rPr>
          <w:rFonts w:ascii="仿宋" w:hAnsi="仿宋" w:eastAsia="仿宋" w:cs="Times New Roman"/>
          <w:kern w:val="0"/>
          <w:sz w:val="32"/>
          <w:szCs w:val="32"/>
        </w:rPr>
        <w:t>15</w:t>
      </w:r>
      <w:r>
        <w:rPr>
          <w:rFonts w:hint="eastAsia" w:ascii="仿宋" w:hAnsi="仿宋" w:eastAsia="仿宋" w:cs="宋体"/>
          <w:kern w:val="0"/>
          <w:sz w:val="32"/>
          <w:szCs w:val="32"/>
        </w:rPr>
        <w:t>日</w:t>
      </w:r>
    </w:p>
    <w:p w14:paraId="4003C509">
      <w:pPr>
        <w:widowControl/>
        <w:jc w:val="right"/>
        <w:rPr>
          <w:rFonts w:ascii="宋体" w:hAnsi="宋体" w:eastAsia="宋体" w:cs="宋体"/>
          <w:kern w:val="0"/>
          <w:sz w:val="24"/>
          <w:szCs w:val="24"/>
        </w:rPr>
      </w:pPr>
      <w:r>
        <w:rPr>
          <w:rFonts w:ascii="Times New Roman" w:hAnsi="Times New Roman" w:eastAsia="宋体" w:cs="Times New Roman"/>
          <w:kern w:val="0"/>
          <w:sz w:val="24"/>
          <w:szCs w:val="24"/>
        </w:rPr>
        <w:t> </w:t>
      </w:r>
    </w:p>
    <w:p w14:paraId="389F52CF"/>
    <w:p w14:paraId="5406D44A"/>
    <w:p w14:paraId="03C41BE3"/>
    <w:p w14:paraId="517066BB"/>
    <w:p w14:paraId="10B51F5B"/>
    <w:p w14:paraId="3ABC9AEE"/>
    <w:p w14:paraId="7C3001E1"/>
    <w:p w14:paraId="0A472B04"/>
    <w:p w14:paraId="4ECDC6DC"/>
    <w:p w14:paraId="34C052A8"/>
    <w:p w14:paraId="2F133330"/>
    <w:p w14:paraId="6F83D343"/>
    <w:p w14:paraId="4E316740"/>
    <w:p w14:paraId="619033CA"/>
    <w:p w14:paraId="08DE77D3"/>
    <w:p w14:paraId="1998F85B"/>
    <w:p w14:paraId="590A1A28"/>
    <w:p w14:paraId="4FF1A9C3">
      <w:pPr>
        <w:rPr>
          <w:rFonts w:hint="eastAsia" w:ascii="仿宋" w:hAnsi="仿宋" w:eastAsia="仿宋" w:cs="Arial"/>
          <w:color w:val="191919"/>
          <w:kern w:val="0"/>
          <w:sz w:val="32"/>
          <w:szCs w:val="32"/>
        </w:rPr>
      </w:pPr>
    </w:p>
    <w:p w14:paraId="16579F96">
      <w:pPr>
        <w:rPr>
          <w:rFonts w:hint="eastAsia" w:ascii="仿宋" w:hAnsi="仿宋" w:eastAsia="仿宋" w:cs="Arial"/>
          <w:color w:val="191919"/>
          <w:kern w:val="0"/>
          <w:sz w:val="32"/>
          <w:szCs w:val="32"/>
        </w:rPr>
      </w:pPr>
    </w:p>
    <w:p w14:paraId="6DD8BBA6">
      <w:r>
        <w:rPr>
          <w:rFonts w:hint="eastAsia" w:ascii="仿宋" w:hAnsi="仿宋" w:eastAsia="仿宋" w:cs="Arial"/>
          <w:color w:val="191919"/>
          <w:kern w:val="0"/>
          <w:sz w:val="32"/>
          <w:szCs w:val="32"/>
        </w:rPr>
        <w:t>抄送：商务部，自治区自然资源厅、公安厅、住房城乡建设厅、交通厅、生态环境厅、应急厅、市场监管局、税务局、气象局，中国石油内蒙古销售分公司、中国石化内蒙古石油分公司。</w:t>
      </w:r>
    </w:p>
    <w:p w14:paraId="12D83DD2"/>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楷体_GB2312">
    <w:altName w:val="楷体"/>
    <w:panose1 w:val="00000000000000000000"/>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仿宋_GB2312">
    <w:altName w:val="仿宋"/>
    <w:panose1 w:val="00000000000000000000"/>
    <w:charset w:val="86"/>
    <w:family w:val="modern"/>
    <w:pitch w:val="default"/>
    <w:sig w:usb0="00000000" w:usb1="0000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525590835"/>
      <w:docPartObj>
        <w:docPartGallery w:val="autotext"/>
      </w:docPartObj>
    </w:sdtPr>
    <w:sdtContent>
      <w:sdt>
        <w:sdtPr>
          <w:id w:val="-1669238322"/>
          <w:docPartObj>
            <w:docPartGallery w:val="autotext"/>
          </w:docPartObj>
        </w:sdtPr>
        <w:sdtContent>
          <w:p w14:paraId="592E5098">
            <w:pPr>
              <w:pStyle w:val="4"/>
              <w:jc w:val="center"/>
            </w:pPr>
            <w:r>
              <w:rPr>
                <w:lang w:val="zh-CN"/>
              </w:rPr>
              <w:t xml:space="preserve"> </w:t>
            </w:r>
            <w:r>
              <w:rPr>
                <w:b/>
                <w:bCs/>
                <w:sz w:val="24"/>
                <w:szCs w:val="24"/>
              </w:rPr>
              <w:fldChar w:fldCharType="begin"/>
            </w:r>
            <w:r>
              <w:rPr>
                <w:b/>
                <w:bCs/>
              </w:rPr>
              <w:instrText xml:space="preserve">PAGE</w:instrText>
            </w:r>
            <w:r>
              <w:rPr>
                <w:b/>
                <w:bCs/>
                <w:sz w:val="24"/>
                <w:szCs w:val="24"/>
              </w:rPr>
              <w:fldChar w:fldCharType="separate"/>
            </w:r>
            <w:r>
              <w:rPr>
                <w:b/>
                <w:bCs/>
              </w:rPr>
              <w:t>1</w:t>
            </w:r>
            <w:r>
              <w:rPr>
                <w:b/>
                <w:bCs/>
                <w:sz w:val="24"/>
                <w:szCs w:val="24"/>
              </w:rPr>
              <w:fldChar w:fldCharType="end"/>
            </w:r>
            <w:r>
              <w:rPr>
                <w:lang w:val="zh-CN"/>
              </w:rPr>
              <w:t xml:space="preserve"> / </w:t>
            </w:r>
            <w:r>
              <w:rPr>
                <w:b/>
                <w:bCs/>
                <w:sz w:val="24"/>
                <w:szCs w:val="24"/>
              </w:rPr>
              <w:fldChar w:fldCharType="begin"/>
            </w:r>
            <w:r>
              <w:rPr>
                <w:b/>
                <w:bCs/>
              </w:rPr>
              <w:instrText xml:space="preserve">NUMPAGES</w:instrText>
            </w:r>
            <w:r>
              <w:rPr>
                <w:b/>
                <w:bCs/>
                <w:sz w:val="24"/>
                <w:szCs w:val="24"/>
              </w:rPr>
              <w:fldChar w:fldCharType="separate"/>
            </w:r>
            <w:r>
              <w:rPr>
                <w:b/>
                <w:bCs/>
              </w:rPr>
              <w:t>12</w:t>
            </w:r>
            <w:r>
              <w:rPr>
                <w:b/>
                <w:bCs/>
                <w:sz w:val="24"/>
                <w:szCs w:val="24"/>
              </w:rPr>
              <w:fldChar w:fldCharType="end"/>
            </w:r>
          </w:p>
        </w:sdtContent>
      </w:sdt>
    </w:sdtContent>
  </w:sdt>
  <w:p w14:paraId="52D44476">
    <w:pPr>
      <w:pStyle w:val="4"/>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DED1D30"/>
    <w:multiLevelType w:val="multilevel"/>
    <w:tmpl w:val="5DED1D30"/>
    <w:lvl w:ilvl="0" w:tentative="0">
      <w:start w:val="1"/>
      <w:numFmt w:val="japaneseCounting"/>
      <w:lvlText w:val="（%1）"/>
      <w:lvlJc w:val="left"/>
      <w:pPr>
        <w:ind w:left="1560" w:hanging="1080"/>
      </w:pPr>
      <w:rPr>
        <w:rFonts w:hint="default"/>
      </w:r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C67A5"/>
    <w:rsid w:val="00030C8E"/>
    <w:rsid w:val="00043A2F"/>
    <w:rsid w:val="00052EAA"/>
    <w:rsid w:val="0009340C"/>
    <w:rsid w:val="000B078E"/>
    <w:rsid w:val="000B38F9"/>
    <w:rsid w:val="000D18B8"/>
    <w:rsid w:val="000F497E"/>
    <w:rsid w:val="00106F34"/>
    <w:rsid w:val="001179D5"/>
    <w:rsid w:val="00133298"/>
    <w:rsid w:val="00152F80"/>
    <w:rsid w:val="00173347"/>
    <w:rsid w:val="00196315"/>
    <w:rsid w:val="001A1284"/>
    <w:rsid w:val="001D507A"/>
    <w:rsid w:val="001F3108"/>
    <w:rsid w:val="00201463"/>
    <w:rsid w:val="002112B0"/>
    <w:rsid w:val="00256749"/>
    <w:rsid w:val="00256C76"/>
    <w:rsid w:val="002A7CE2"/>
    <w:rsid w:val="002D08C4"/>
    <w:rsid w:val="00305263"/>
    <w:rsid w:val="0031299C"/>
    <w:rsid w:val="00352A83"/>
    <w:rsid w:val="0036161F"/>
    <w:rsid w:val="00375B76"/>
    <w:rsid w:val="00393D14"/>
    <w:rsid w:val="003B5B9A"/>
    <w:rsid w:val="003D0709"/>
    <w:rsid w:val="00402CBA"/>
    <w:rsid w:val="00402DFF"/>
    <w:rsid w:val="0040495E"/>
    <w:rsid w:val="004306F9"/>
    <w:rsid w:val="00433278"/>
    <w:rsid w:val="004527B3"/>
    <w:rsid w:val="004B6C22"/>
    <w:rsid w:val="00526201"/>
    <w:rsid w:val="00583D0E"/>
    <w:rsid w:val="0059506B"/>
    <w:rsid w:val="005C2218"/>
    <w:rsid w:val="005C3116"/>
    <w:rsid w:val="00696289"/>
    <w:rsid w:val="00700D1E"/>
    <w:rsid w:val="007120C3"/>
    <w:rsid w:val="00714B52"/>
    <w:rsid w:val="007732F2"/>
    <w:rsid w:val="007A077A"/>
    <w:rsid w:val="007D010E"/>
    <w:rsid w:val="008060A1"/>
    <w:rsid w:val="008146EE"/>
    <w:rsid w:val="008367A7"/>
    <w:rsid w:val="00836E4C"/>
    <w:rsid w:val="00851CF1"/>
    <w:rsid w:val="00857403"/>
    <w:rsid w:val="008607E7"/>
    <w:rsid w:val="0089332E"/>
    <w:rsid w:val="00897886"/>
    <w:rsid w:val="008B6269"/>
    <w:rsid w:val="008C67A5"/>
    <w:rsid w:val="0091339D"/>
    <w:rsid w:val="009342C2"/>
    <w:rsid w:val="00935DB9"/>
    <w:rsid w:val="00973A5A"/>
    <w:rsid w:val="00981A8D"/>
    <w:rsid w:val="009C38EB"/>
    <w:rsid w:val="009C7051"/>
    <w:rsid w:val="009D2E36"/>
    <w:rsid w:val="009F08AF"/>
    <w:rsid w:val="00A65259"/>
    <w:rsid w:val="00A75E8C"/>
    <w:rsid w:val="00A760A5"/>
    <w:rsid w:val="00B03680"/>
    <w:rsid w:val="00B22C2A"/>
    <w:rsid w:val="00B80A49"/>
    <w:rsid w:val="00B84752"/>
    <w:rsid w:val="00BC17A5"/>
    <w:rsid w:val="00BE4E9C"/>
    <w:rsid w:val="00BF6F1E"/>
    <w:rsid w:val="00C57A9F"/>
    <w:rsid w:val="00C93D7E"/>
    <w:rsid w:val="00C97ABE"/>
    <w:rsid w:val="00CF533F"/>
    <w:rsid w:val="00D0754C"/>
    <w:rsid w:val="00D255A7"/>
    <w:rsid w:val="00D361E6"/>
    <w:rsid w:val="00D374C7"/>
    <w:rsid w:val="00D45DA3"/>
    <w:rsid w:val="00D543C5"/>
    <w:rsid w:val="00D57531"/>
    <w:rsid w:val="00D77F02"/>
    <w:rsid w:val="00D92A59"/>
    <w:rsid w:val="00DE06EA"/>
    <w:rsid w:val="00E10851"/>
    <w:rsid w:val="00E16B3B"/>
    <w:rsid w:val="00E22CBF"/>
    <w:rsid w:val="00E437AA"/>
    <w:rsid w:val="00E64385"/>
    <w:rsid w:val="00E7249B"/>
    <w:rsid w:val="00E97445"/>
    <w:rsid w:val="00EA4C2A"/>
    <w:rsid w:val="00EB6E07"/>
    <w:rsid w:val="00F15E60"/>
    <w:rsid w:val="00F25F91"/>
    <w:rsid w:val="00F86784"/>
    <w:rsid w:val="00FA3D47"/>
    <w:rsid w:val="00FB6584"/>
    <w:rsid w:val="00FE63CD"/>
    <w:rsid w:val="00FF6805"/>
    <w:rsid w:val="1E4F6845"/>
    <w:rsid w:val="35AD7F1A"/>
    <w:rsid w:val="3AA98585"/>
    <w:rsid w:val="3BFF8859"/>
    <w:rsid w:val="55667EE1"/>
    <w:rsid w:val="5FFBF86A"/>
    <w:rsid w:val="6EF7869B"/>
    <w:rsid w:val="D65C7AE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10"/>
    <w:qFormat/>
    <w:uiPriority w:val="9"/>
    <w:pPr>
      <w:widowControl/>
      <w:spacing w:before="100" w:beforeAutospacing="1" w:after="100" w:afterAutospacing="1"/>
      <w:jc w:val="left"/>
      <w:outlineLvl w:val="0"/>
    </w:pPr>
    <w:rPr>
      <w:rFonts w:ascii="宋体" w:hAnsi="宋体" w:eastAsia="宋体" w:cs="宋体"/>
      <w:b/>
      <w:bCs/>
      <w:kern w:val="36"/>
      <w:sz w:val="48"/>
      <w:szCs w:val="48"/>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3">
    <w:name w:val="Balloon Text"/>
    <w:basedOn w:val="1"/>
    <w:link w:val="14"/>
    <w:semiHidden/>
    <w:unhideWhenUsed/>
    <w:qFormat/>
    <w:uiPriority w:val="99"/>
    <w:rPr>
      <w:sz w:val="18"/>
      <w:szCs w:val="18"/>
    </w:rPr>
  </w:style>
  <w:style w:type="paragraph" w:styleId="4">
    <w:name w:val="footer"/>
    <w:basedOn w:val="1"/>
    <w:link w:val="13"/>
    <w:unhideWhenUsed/>
    <w:qFormat/>
    <w:uiPriority w:val="99"/>
    <w:pPr>
      <w:tabs>
        <w:tab w:val="center" w:pos="4153"/>
        <w:tab w:val="right" w:pos="8306"/>
      </w:tabs>
      <w:snapToGrid w:val="0"/>
      <w:jc w:val="left"/>
    </w:pPr>
    <w:rPr>
      <w:sz w:val="18"/>
      <w:szCs w:val="18"/>
    </w:rPr>
  </w:style>
  <w:style w:type="paragraph" w:styleId="5">
    <w:name w:val="header"/>
    <w:basedOn w:val="1"/>
    <w:link w:val="12"/>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character" w:styleId="9">
    <w:name w:val="Strong"/>
    <w:basedOn w:val="8"/>
    <w:qFormat/>
    <w:uiPriority w:val="22"/>
    <w:rPr>
      <w:b/>
      <w:bCs/>
    </w:rPr>
  </w:style>
  <w:style w:type="character" w:customStyle="1" w:styleId="10">
    <w:name w:val="标题 1 Char"/>
    <w:basedOn w:val="8"/>
    <w:link w:val="2"/>
    <w:qFormat/>
    <w:uiPriority w:val="9"/>
    <w:rPr>
      <w:rFonts w:ascii="宋体" w:hAnsi="宋体" w:eastAsia="宋体" w:cs="宋体"/>
      <w:b/>
      <w:bCs/>
      <w:kern w:val="36"/>
      <w:sz w:val="48"/>
      <w:szCs w:val="48"/>
    </w:rPr>
  </w:style>
  <w:style w:type="paragraph" w:customStyle="1" w:styleId="11">
    <w:name w:val="a1"/>
    <w:basedOn w:val="1"/>
    <w:qFormat/>
    <w:uiPriority w:val="0"/>
    <w:pPr>
      <w:widowControl/>
      <w:spacing w:before="100" w:beforeAutospacing="1" w:after="100" w:afterAutospacing="1"/>
      <w:jc w:val="left"/>
    </w:pPr>
    <w:rPr>
      <w:rFonts w:ascii="宋体" w:hAnsi="宋体" w:eastAsia="宋体" w:cs="宋体"/>
      <w:kern w:val="0"/>
      <w:sz w:val="24"/>
      <w:szCs w:val="24"/>
    </w:rPr>
  </w:style>
  <w:style w:type="character" w:customStyle="1" w:styleId="12">
    <w:name w:val="页眉 Char"/>
    <w:basedOn w:val="8"/>
    <w:link w:val="5"/>
    <w:qFormat/>
    <w:uiPriority w:val="99"/>
    <w:rPr>
      <w:sz w:val="18"/>
      <w:szCs w:val="18"/>
    </w:rPr>
  </w:style>
  <w:style w:type="character" w:customStyle="1" w:styleId="13">
    <w:name w:val="页脚 Char"/>
    <w:basedOn w:val="8"/>
    <w:link w:val="4"/>
    <w:qFormat/>
    <w:uiPriority w:val="99"/>
    <w:rPr>
      <w:sz w:val="18"/>
      <w:szCs w:val="18"/>
    </w:rPr>
  </w:style>
  <w:style w:type="character" w:customStyle="1" w:styleId="14">
    <w:name w:val="批注框文本 Char"/>
    <w:basedOn w:val="8"/>
    <w:link w:val="3"/>
    <w:semiHidden/>
    <w:qFormat/>
    <w:uiPriority w:val="99"/>
    <w:rPr>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13</Pages>
  <Words>5052</Words>
  <Characters>5170</Characters>
  <Lines>37</Lines>
  <Paragraphs>10</Paragraphs>
  <TotalTime>39</TotalTime>
  <ScaleCrop>false</ScaleCrop>
  <LinksUpToDate>false</LinksUpToDate>
  <CharactersWithSpaces>5192</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2020-10-20T07:32:00Z</dcterms:created>
  <dc:creator>lenovo</dc:creator>
  <cp:lastModifiedBy>WPS_1620267379</cp:lastModifiedBy>
  <cp:lastPrinted>2020-12-21T10:31:00Z</cp:lastPrinted>
  <dcterms:modified xsi:type="dcterms:W3CDTF">2025-12-19T08:09:29Z</dcterms:modified>
  <cp:revision>126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KSOTemplateDocerSaveRecord">
    <vt:lpwstr>eyJoZGlkIjoiYjk2MjEzMzNhNTU1OTMyMzJlY2U1ODc2YTc5Y2U4YWYiLCJ1c2VySWQiOiIxMjA4MzE1MjAyIn0=</vt:lpwstr>
  </property>
  <property fmtid="{D5CDD505-2E9C-101B-9397-08002B2CF9AE}" pid="4" name="ICV">
    <vt:lpwstr>8AE1C444F6E34C9D8BB8C821F0E3FB61_12</vt:lpwstr>
  </property>
</Properties>
</file>